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B7A02" w:rsidRDefault="00BA71D2">
      <w:r>
        <w:t>ASCCC Resolution Spring 2022 - proposed</w:t>
      </w:r>
    </w:p>
    <w:p w14:paraId="00000002" w14:textId="77777777" w:rsidR="002B7A02" w:rsidRDefault="002B7A02"/>
    <w:p w14:paraId="00000003" w14:textId="77777777" w:rsidR="002B7A02" w:rsidRPr="00E74739" w:rsidRDefault="00BA71D2">
      <w:pPr>
        <w:rPr>
          <w:b/>
        </w:rPr>
      </w:pPr>
      <w:r w:rsidRPr="00E74739">
        <w:rPr>
          <w:b/>
        </w:rPr>
        <w:t>AB 1705 (Irwin, 2022) Regarding Chancellor’s Office Student Enrollment Data</w:t>
      </w:r>
    </w:p>
    <w:p w14:paraId="00000004" w14:textId="77777777" w:rsidR="002B7A02" w:rsidRDefault="002B7A02"/>
    <w:p w14:paraId="00000005" w14:textId="77777777" w:rsidR="002B7A02" w:rsidRDefault="00BA71D2">
      <w:pPr>
        <w:rPr>
          <w:rFonts w:ascii="Verdana" w:eastAsia="Verdana" w:hAnsi="Verdana" w:cs="Verdana"/>
          <w:color w:val="333333"/>
          <w:highlight w:val="white"/>
        </w:rPr>
      </w:pPr>
      <w:r>
        <w:t>Whereas, AB 1705 (Irwin, 2022)</w:t>
      </w:r>
      <w:r>
        <w:rPr>
          <w:vertAlign w:val="superscript"/>
        </w:rPr>
        <w:footnoteReference w:id="1"/>
      </w:r>
      <w:r>
        <w:t xml:space="preserve"> as of March 16, 2022 would require that </w:t>
      </w:r>
      <w:r>
        <w:rPr>
          <w:rFonts w:ascii="Verdana" w:eastAsia="Verdana" w:hAnsi="Verdana" w:cs="Verdana"/>
          <w:color w:val="333333"/>
          <w:highlight w:val="white"/>
        </w:rPr>
        <w:t>California Community Colleges create a Transfer Level Gateway Completion Dashboard by July 2023 that shall be updated annually and shall contain data on a statewide basis, and disaggregated by regional, district, and college levels, including drop out prior to census date counts in mathematics, English, and ESL English;</w:t>
      </w:r>
    </w:p>
    <w:p w14:paraId="00000006" w14:textId="77777777" w:rsidR="002B7A02" w:rsidRDefault="002B7A02">
      <w:pPr>
        <w:rPr>
          <w:rFonts w:ascii="Verdana" w:eastAsia="Verdana" w:hAnsi="Verdana" w:cs="Verdana"/>
          <w:color w:val="333333"/>
          <w:highlight w:val="white"/>
        </w:rPr>
      </w:pPr>
      <w:bookmarkStart w:id="0" w:name="_GoBack"/>
      <w:bookmarkEnd w:id="0"/>
    </w:p>
    <w:p w14:paraId="00000007" w14:textId="77777777" w:rsidR="002B7A02" w:rsidRDefault="00BA71D2">
      <w:pPr>
        <w:rPr>
          <w:rFonts w:ascii="Verdana" w:eastAsia="Verdana" w:hAnsi="Verdana" w:cs="Verdana"/>
          <w:color w:val="333333"/>
          <w:highlight w:val="white"/>
        </w:rPr>
      </w:pPr>
      <w:r>
        <w:rPr>
          <w:rFonts w:ascii="Verdana" w:eastAsia="Verdana" w:hAnsi="Verdana" w:cs="Verdana"/>
          <w:color w:val="333333"/>
          <w:highlight w:val="white"/>
        </w:rPr>
        <w:t>Whereas, The California Community Colleges Chancellor’s Office is assessing and evaluating AB 705 (Irwin, 2017)</w:t>
      </w:r>
      <w:r>
        <w:rPr>
          <w:rFonts w:ascii="Verdana" w:eastAsia="Verdana" w:hAnsi="Verdana" w:cs="Verdana"/>
          <w:color w:val="333333"/>
          <w:highlight w:val="white"/>
          <w:vertAlign w:val="superscript"/>
        </w:rPr>
        <w:footnoteReference w:id="2"/>
      </w:r>
      <w:r>
        <w:rPr>
          <w:rFonts w:ascii="Verdana" w:eastAsia="Verdana" w:hAnsi="Verdana" w:cs="Verdana"/>
          <w:color w:val="333333"/>
          <w:highlight w:val="white"/>
        </w:rPr>
        <w:t xml:space="preserve"> or California Education Code section 78213</w:t>
      </w:r>
      <w:r>
        <w:rPr>
          <w:rFonts w:ascii="Verdana" w:eastAsia="Verdana" w:hAnsi="Verdana" w:cs="Verdana"/>
          <w:color w:val="333333"/>
          <w:highlight w:val="white"/>
          <w:vertAlign w:val="superscript"/>
        </w:rPr>
        <w:footnoteReference w:id="3"/>
      </w:r>
      <w:r>
        <w:rPr>
          <w:rFonts w:ascii="Verdana" w:eastAsia="Verdana" w:hAnsi="Verdana" w:cs="Verdana"/>
          <w:color w:val="333333"/>
          <w:highlight w:val="white"/>
        </w:rPr>
        <w:t xml:space="preserve"> compliance by using student enrollment data in transfer-level coursework but does not include all enrollment data in the evaluation and assessment; and </w:t>
      </w:r>
    </w:p>
    <w:p w14:paraId="00000008" w14:textId="77777777" w:rsidR="002B7A02" w:rsidRDefault="002B7A02">
      <w:pPr>
        <w:rPr>
          <w:rFonts w:ascii="Verdana" w:eastAsia="Verdana" w:hAnsi="Verdana" w:cs="Verdana"/>
          <w:color w:val="333333"/>
          <w:highlight w:val="white"/>
        </w:rPr>
      </w:pPr>
    </w:p>
    <w:p w14:paraId="00000009" w14:textId="77777777" w:rsidR="002B7A02" w:rsidRDefault="00BA71D2">
      <w:pPr>
        <w:rPr>
          <w:rFonts w:ascii="Verdana" w:eastAsia="Verdana" w:hAnsi="Verdana" w:cs="Verdana"/>
          <w:color w:val="333333"/>
          <w:highlight w:val="white"/>
        </w:rPr>
      </w:pPr>
      <w:r>
        <w:rPr>
          <w:rFonts w:ascii="Verdana" w:eastAsia="Verdana" w:hAnsi="Verdana" w:cs="Verdana"/>
          <w:color w:val="333333"/>
          <w:highlight w:val="white"/>
        </w:rPr>
        <w:t>Whereas, AB 1705 (Irwin, 2022)</w:t>
      </w:r>
      <w:r>
        <w:rPr>
          <w:rFonts w:ascii="Verdana" w:eastAsia="Verdana" w:hAnsi="Verdana" w:cs="Verdana"/>
          <w:color w:val="333333"/>
          <w:highlight w:val="white"/>
          <w:vertAlign w:val="superscript"/>
        </w:rPr>
        <w:footnoteReference w:id="4"/>
      </w:r>
      <w:r>
        <w:rPr>
          <w:rFonts w:ascii="Verdana" w:eastAsia="Verdana" w:hAnsi="Verdana" w:cs="Verdana"/>
          <w:color w:val="333333"/>
          <w:highlight w:val="white"/>
        </w:rPr>
        <w:t xml:space="preserve"> as of March 16, 2022 would require that colleges not only place but also enroll students in transfer-level courses with limited exceptions;</w:t>
      </w:r>
    </w:p>
    <w:p w14:paraId="0000000A" w14:textId="77777777" w:rsidR="002B7A02" w:rsidRDefault="002B7A02">
      <w:pPr>
        <w:rPr>
          <w:rFonts w:ascii="Verdana" w:eastAsia="Verdana" w:hAnsi="Verdana" w:cs="Verdana"/>
          <w:color w:val="333333"/>
          <w:highlight w:val="white"/>
        </w:rPr>
      </w:pPr>
    </w:p>
    <w:p w14:paraId="0000000B" w14:textId="77777777" w:rsidR="002B7A02" w:rsidRDefault="00BA71D2">
      <w:pPr>
        <w:rPr>
          <w:rFonts w:ascii="Verdana" w:eastAsia="Verdana" w:hAnsi="Verdana" w:cs="Verdana"/>
          <w:color w:val="333333"/>
          <w:highlight w:val="white"/>
        </w:rPr>
      </w:pPr>
      <w:r>
        <w:rPr>
          <w:rFonts w:ascii="Verdana" w:eastAsia="Verdana" w:hAnsi="Verdana" w:cs="Verdana"/>
          <w:color w:val="333333"/>
          <w:highlight w:val="white"/>
        </w:rPr>
        <w:t>Resolved, That the Academic Senate for California Community Colleges work with system practitioners, partners, and stakeholders as well as the legislature to ensure that the requirement for the California Community Colleges Chancellor’s Office to create a Transfer Level Gateway Completion Dashboard remains in AB 1705 (Irwin, 2022)</w:t>
      </w:r>
      <w:r>
        <w:rPr>
          <w:rFonts w:ascii="Verdana" w:eastAsia="Verdana" w:hAnsi="Verdana" w:cs="Verdana"/>
          <w:color w:val="333333"/>
          <w:highlight w:val="white"/>
          <w:vertAlign w:val="superscript"/>
        </w:rPr>
        <w:footnoteReference w:id="5"/>
      </w:r>
      <w:r>
        <w:rPr>
          <w:rFonts w:ascii="Verdana" w:eastAsia="Verdana" w:hAnsi="Verdana" w:cs="Verdana"/>
          <w:color w:val="333333"/>
          <w:highlight w:val="white"/>
        </w:rPr>
        <w:t xml:space="preserve"> and includes a data element on student enrollment from the first day of each course through the census date for each college.</w:t>
      </w:r>
    </w:p>
    <w:p w14:paraId="0000000C" w14:textId="77777777" w:rsidR="002B7A02" w:rsidRDefault="002B7A02">
      <w:pPr>
        <w:rPr>
          <w:rFonts w:ascii="Verdana" w:eastAsia="Verdana" w:hAnsi="Verdana" w:cs="Verdana"/>
          <w:color w:val="333333"/>
          <w:highlight w:val="white"/>
        </w:rPr>
      </w:pPr>
    </w:p>
    <w:p w14:paraId="0000000D" w14:textId="5CA20539" w:rsidR="002B7A02" w:rsidRDefault="00BA71D2">
      <w:pPr>
        <w:rPr>
          <w:rFonts w:ascii="Verdana" w:eastAsia="Verdana" w:hAnsi="Verdana" w:cs="Verdana"/>
          <w:color w:val="333333"/>
          <w:highlight w:val="white"/>
        </w:rPr>
      </w:pPr>
      <w:r>
        <w:rPr>
          <w:rFonts w:ascii="Verdana" w:eastAsia="Verdana" w:hAnsi="Verdana" w:cs="Verdana"/>
          <w:color w:val="333333"/>
          <w:highlight w:val="white"/>
        </w:rPr>
        <w:t>Contact:</w:t>
      </w:r>
      <w:r w:rsidR="00E1475F">
        <w:rPr>
          <w:rFonts w:ascii="Verdana" w:eastAsia="Verdana" w:hAnsi="Verdana" w:cs="Verdana"/>
          <w:color w:val="333333"/>
          <w:highlight w:val="white"/>
        </w:rPr>
        <w:t xml:space="preserve"> Wendy Brill-Wynkoop, College of the Canyons</w:t>
      </w:r>
    </w:p>
    <w:sectPr w:rsidR="002B7A0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1851D" w14:textId="77777777" w:rsidR="000161D8" w:rsidRDefault="000161D8">
      <w:pPr>
        <w:spacing w:line="240" w:lineRule="auto"/>
      </w:pPr>
      <w:r>
        <w:separator/>
      </w:r>
    </w:p>
  </w:endnote>
  <w:endnote w:type="continuationSeparator" w:id="0">
    <w:p w14:paraId="45C81D95" w14:textId="77777777" w:rsidR="000161D8" w:rsidRDefault="000161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DF242" w14:textId="77777777" w:rsidR="000161D8" w:rsidRDefault="000161D8">
      <w:pPr>
        <w:spacing w:line="240" w:lineRule="auto"/>
      </w:pPr>
      <w:r>
        <w:separator/>
      </w:r>
    </w:p>
  </w:footnote>
  <w:footnote w:type="continuationSeparator" w:id="0">
    <w:p w14:paraId="29DBD4EC" w14:textId="77777777" w:rsidR="000161D8" w:rsidRDefault="000161D8">
      <w:pPr>
        <w:spacing w:line="240" w:lineRule="auto"/>
      </w:pPr>
      <w:r>
        <w:continuationSeparator/>
      </w:r>
    </w:p>
  </w:footnote>
  <w:footnote w:id="1">
    <w:p w14:paraId="0000000E" w14:textId="77777777" w:rsidR="002B7A02" w:rsidRDefault="00BA71D2">
      <w:pPr>
        <w:spacing w:line="240" w:lineRule="auto"/>
        <w:rPr>
          <w:sz w:val="20"/>
          <w:szCs w:val="20"/>
        </w:rPr>
      </w:pPr>
      <w:r>
        <w:rPr>
          <w:vertAlign w:val="superscript"/>
        </w:rPr>
        <w:footnoteRef/>
      </w:r>
      <w:r>
        <w:rPr>
          <w:sz w:val="20"/>
          <w:szCs w:val="20"/>
        </w:rPr>
        <w:t xml:space="preserve"> AB 1705 (Irwin, 2022): </w:t>
      </w:r>
      <w:hyperlink r:id="rId1">
        <w:r>
          <w:rPr>
            <w:color w:val="1155CC"/>
            <w:sz w:val="20"/>
            <w:szCs w:val="20"/>
            <w:u w:val="single"/>
          </w:rPr>
          <w:t>https://leginfo.legislature.ca.gov/faces/billTextClient.xhtml?bill_id=202120220AB1705</w:t>
        </w:r>
      </w:hyperlink>
      <w:r>
        <w:rPr>
          <w:sz w:val="20"/>
          <w:szCs w:val="20"/>
        </w:rPr>
        <w:t xml:space="preserve"> </w:t>
      </w:r>
    </w:p>
  </w:footnote>
  <w:footnote w:id="2">
    <w:p w14:paraId="00000010" w14:textId="77777777" w:rsidR="002B7A02" w:rsidRDefault="00BA71D2">
      <w:pPr>
        <w:spacing w:line="240" w:lineRule="auto"/>
        <w:rPr>
          <w:sz w:val="20"/>
          <w:szCs w:val="20"/>
        </w:rPr>
      </w:pPr>
      <w:r>
        <w:rPr>
          <w:vertAlign w:val="superscript"/>
        </w:rPr>
        <w:footnoteRef/>
      </w:r>
      <w:r>
        <w:rPr>
          <w:sz w:val="20"/>
          <w:szCs w:val="20"/>
        </w:rPr>
        <w:t xml:space="preserve"> AB 1705 (Irwin, 2022): </w:t>
      </w:r>
      <w:hyperlink r:id="rId2">
        <w:r>
          <w:rPr>
            <w:color w:val="1155CC"/>
            <w:sz w:val="20"/>
            <w:szCs w:val="20"/>
            <w:u w:val="single"/>
          </w:rPr>
          <w:t>https://leginfo.legislature.ca.gov/faces/billTextClient.xhtml?bill_id=202120220AB1705</w:t>
        </w:r>
      </w:hyperlink>
      <w:r>
        <w:rPr>
          <w:sz w:val="20"/>
          <w:szCs w:val="20"/>
        </w:rPr>
        <w:t xml:space="preserve"> </w:t>
      </w:r>
    </w:p>
  </w:footnote>
  <w:footnote w:id="3">
    <w:p w14:paraId="0000000F" w14:textId="77777777" w:rsidR="002B7A02" w:rsidRDefault="00BA71D2">
      <w:pPr>
        <w:spacing w:line="240" w:lineRule="auto"/>
        <w:rPr>
          <w:sz w:val="20"/>
          <w:szCs w:val="20"/>
        </w:rPr>
      </w:pPr>
      <w:r>
        <w:rPr>
          <w:vertAlign w:val="superscript"/>
        </w:rPr>
        <w:footnoteRef/>
      </w:r>
      <w:r>
        <w:rPr>
          <w:sz w:val="20"/>
          <w:szCs w:val="20"/>
        </w:rPr>
        <w:t xml:space="preserve"> CA EDC: https://leginfo.legislature.ca.gov/faces/codes_displaySection.xhtml?sectionNum=78213.&amp;lawCode=EDC</w:t>
      </w:r>
    </w:p>
  </w:footnote>
  <w:footnote w:id="4">
    <w:p w14:paraId="00000011" w14:textId="77777777" w:rsidR="002B7A02" w:rsidRDefault="00BA71D2">
      <w:pPr>
        <w:spacing w:line="240" w:lineRule="auto"/>
        <w:rPr>
          <w:sz w:val="20"/>
          <w:szCs w:val="20"/>
        </w:rPr>
      </w:pPr>
      <w:r>
        <w:rPr>
          <w:vertAlign w:val="superscript"/>
        </w:rPr>
        <w:footnoteRef/>
      </w:r>
      <w:r>
        <w:rPr>
          <w:sz w:val="20"/>
          <w:szCs w:val="20"/>
        </w:rPr>
        <w:t xml:space="preserve"> AB 1705 (Irwin, 2022): </w:t>
      </w:r>
      <w:hyperlink r:id="rId3">
        <w:r>
          <w:rPr>
            <w:color w:val="1155CC"/>
            <w:sz w:val="20"/>
            <w:szCs w:val="20"/>
            <w:u w:val="single"/>
          </w:rPr>
          <w:t>https://leginfo.legislature.ca.gov/faces/billTextClient.xhtml?bill_id=202120220AB1705</w:t>
        </w:r>
      </w:hyperlink>
      <w:r>
        <w:rPr>
          <w:sz w:val="20"/>
          <w:szCs w:val="20"/>
        </w:rPr>
        <w:t xml:space="preserve"> </w:t>
      </w:r>
    </w:p>
  </w:footnote>
  <w:footnote w:id="5">
    <w:p w14:paraId="00000012" w14:textId="77777777" w:rsidR="002B7A02" w:rsidRDefault="00BA71D2">
      <w:pPr>
        <w:spacing w:line="240" w:lineRule="auto"/>
        <w:rPr>
          <w:sz w:val="20"/>
          <w:szCs w:val="20"/>
        </w:rPr>
      </w:pPr>
      <w:r>
        <w:rPr>
          <w:vertAlign w:val="superscript"/>
        </w:rPr>
        <w:footnoteRef/>
      </w:r>
      <w:r>
        <w:rPr>
          <w:sz w:val="20"/>
          <w:szCs w:val="20"/>
        </w:rPr>
        <w:t xml:space="preserve"> AB 1705 (Irwin, 2022): </w:t>
      </w:r>
      <w:hyperlink r:id="rId4">
        <w:r>
          <w:rPr>
            <w:color w:val="1155CC"/>
            <w:sz w:val="20"/>
            <w:szCs w:val="20"/>
            <w:u w:val="single"/>
          </w:rPr>
          <w:t>https://leginfo.legislature.ca.gov/faces/billTextClient.xhtml?bill_id=202120220AB1705</w:t>
        </w:r>
      </w:hyperlink>
      <w:r>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A02"/>
    <w:rsid w:val="000161D8"/>
    <w:rsid w:val="002B7A02"/>
    <w:rsid w:val="00BA71D2"/>
    <w:rsid w:val="00E1475F"/>
    <w:rsid w:val="00E7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B021"/>
  <w15:docId w15:val="{2DC2CC37-29E0-7145-B3B8-BD9519E5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leginfo.legislature.ca.gov/faces/billTextClient.xhtml?bill_id=202120220AB1705" TargetMode="External"/><Relationship Id="rId2" Type="http://schemas.openxmlformats.org/officeDocument/2006/relationships/hyperlink" Target="https://leginfo.legislature.ca.gov/faces/billTextClient.xhtml?bill_id=202120220AB1705" TargetMode="External"/><Relationship Id="rId1" Type="http://schemas.openxmlformats.org/officeDocument/2006/relationships/hyperlink" Target="https://leginfo.legislature.ca.gov/faces/billTextClient.xhtml?bill_id=202120220AB1705" TargetMode="External"/><Relationship Id="rId4" Type="http://schemas.openxmlformats.org/officeDocument/2006/relationships/hyperlink" Target="https://leginfo.legislature.ca.gov/faces/billTextClient.xhtml?bill_id=202120220AB1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Natural Sci</dc:creator>
  <cp:lastModifiedBy>Stewart, Robert L</cp:lastModifiedBy>
  <cp:revision>2</cp:revision>
  <dcterms:created xsi:type="dcterms:W3CDTF">2022-03-17T14:56:00Z</dcterms:created>
  <dcterms:modified xsi:type="dcterms:W3CDTF">2022-03-17T14:56:00Z</dcterms:modified>
</cp:coreProperties>
</file>