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4F" w:rsidRDefault="004A260A" w:rsidP="005C0071">
      <w:pPr>
        <w:tabs>
          <w:tab w:val="right" w:pos="10800"/>
        </w:tabs>
        <w:rPr>
          <w:rFonts w:ascii="Arial" w:hAnsi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/>
          <w:b/>
          <w:sz w:val="21"/>
          <w:szCs w:val="21"/>
        </w:rPr>
        <w:t>Mathematics</w:t>
      </w:r>
      <w:r w:rsidR="00B773B8">
        <w:rPr>
          <w:rFonts w:ascii="Arial" w:hAnsi="Arial"/>
          <w:b/>
          <w:sz w:val="21"/>
          <w:szCs w:val="21"/>
        </w:rPr>
        <w:t xml:space="preserve"> </w:t>
      </w:r>
      <w:r w:rsidR="00605491" w:rsidRPr="00E20C79">
        <w:rPr>
          <w:rFonts w:ascii="Arial" w:hAnsi="Arial"/>
          <w:b/>
          <w:sz w:val="21"/>
          <w:szCs w:val="21"/>
        </w:rPr>
        <w:t xml:space="preserve">Transfer Model Curriculum  </w:t>
      </w:r>
      <w:r w:rsidR="00506C4F">
        <w:rPr>
          <w:rFonts w:ascii="Arial" w:hAnsi="Arial"/>
          <w:b/>
          <w:sz w:val="21"/>
          <w:szCs w:val="21"/>
        </w:rPr>
        <w:tab/>
      </w:r>
      <w:r w:rsidR="00DB5B07">
        <w:rPr>
          <w:rFonts w:ascii="Arial" w:hAnsi="Arial"/>
          <w:sz w:val="18"/>
          <w:szCs w:val="18"/>
        </w:rPr>
        <w:t xml:space="preserve">Rev. </w:t>
      </w:r>
      <w:r w:rsidR="005C0071">
        <w:rPr>
          <w:rFonts w:ascii="Arial" w:hAnsi="Arial"/>
          <w:sz w:val="18"/>
          <w:szCs w:val="18"/>
        </w:rPr>
        <w:t>2</w:t>
      </w:r>
      <w:r w:rsidR="00DB5B07">
        <w:rPr>
          <w:rFonts w:ascii="Arial" w:hAnsi="Arial"/>
          <w:sz w:val="18"/>
          <w:szCs w:val="18"/>
        </w:rPr>
        <w:t>: 2</w:t>
      </w:r>
      <w:r w:rsidR="00506C4F" w:rsidRPr="00506C4F">
        <w:rPr>
          <w:rFonts w:ascii="Arial" w:hAnsi="Arial"/>
          <w:sz w:val="18"/>
          <w:szCs w:val="18"/>
        </w:rPr>
        <w:t>/</w:t>
      </w:r>
      <w:r w:rsidR="00442177">
        <w:rPr>
          <w:rFonts w:ascii="Arial" w:hAnsi="Arial"/>
          <w:sz w:val="18"/>
          <w:szCs w:val="18"/>
        </w:rPr>
        <w:t>15</w:t>
      </w:r>
      <w:r w:rsidR="00506C4F" w:rsidRPr="00506C4F">
        <w:rPr>
          <w:rFonts w:ascii="Arial" w:hAnsi="Arial"/>
          <w:sz w:val="18"/>
          <w:szCs w:val="18"/>
        </w:rPr>
        <w:t>/2013</w:t>
      </w:r>
      <w:r w:rsidR="00E273B3">
        <w:rPr>
          <w:rFonts w:ascii="Arial" w:hAnsi="Arial"/>
          <w:b/>
          <w:sz w:val="21"/>
          <w:szCs w:val="21"/>
        </w:rPr>
        <w:tab/>
      </w:r>
    </w:p>
    <w:p w:rsidR="00605491" w:rsidRDefault="00506C4F" w:rsidP="005C0071">
      <w:pPr>
        <w:tabs>
          <w:tab w:val="right" w:pos="10800"/>
        </w:tabs>
        <w:rPr>
          <w:rFonts w:ascii="Arial" w:hAnsi="Arial"/>
          <w:b/>
          <w:sz w:val="21"/>
          <w:szCs w:val="21"/>
        </w:rPr>
      </w:pPr>
      <w:r w:rsidRPr="00A94C31">
        <w:rPr>
          <w:rFonts w:ascii="Arial" w:hAnsi="Arial"/>
          <w:b/>
          <w:sz w:val="21"/>
          <w:szCs w:val="21"/>
        </w:rPr>
        <w:t>CCC Major or Area of Emphasis</w:t>
      </w:r>
      <w:r w:rsidRPr="00A94C31">
        <w:rPr>
          <w:rFonts w:ascii="Arial" w:hAnsi="Arial"/>
          <w:sz w:val="21"/>
          <w:szCs w:val="21"/>
        </w:rPr>
        <w:t xml:space="preserve">: </w:t>
      </w:r>
      <w:r>
        <w:rPr>
          <w:rFonts w:ascii="Arial" w:hAnsi="Arial"/>
          <w:sz w:val="21"/>
          <w:szCs w:val="21"/>
        </w:rPr>
        <w:t>Mathematics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 w:rsidR="005C0071">
        <w:rPr>
          <w:rFonts w:ascii="Arial" w:hAnsi="Arial"/>
          <w:sz w:val="18"/>
          <w:szCs w:val="18"/>
        </w:rPr>
        <w:t>Rev. 1 2.8.13</w:t>
      </w:r>
    </w:p>
    <w:p w:rsidR="00506C4F" w:rsidRDefault="00506C4F" w:rsidP="005C0071">
      <w:pPr>
        <w:tabs>
          <w:tab w:val="right" w:pos="10800"/>
        </w:tabs>
        <w:rPr>
          <w:rFonts w:ascii="Arial" w:hAnsi="Arial"/>
          <w:sz w:val="21"/>
          <w:szCs w:val="21"/>
        </w:rPr>
      </w:pPr>
      <w:r w:rsidRPr="00A94C31">
        <w:rPr>
          <w:rFonts w:ascii="Arial" w:hAnsi="Arial"/>
          <w:b/>
          <w:sz w:val="21"/>
          <w:szCs w:val="21"/>
        </w:rPr>
        <w:t>CSU Major or Majors</w:t>
      </w:r>
      <w:r w:rsidRPr="00A94C31">
        <w:rPr>
          <w:rFonts w:ascii="Arial" w:hAnsi="Arial"/>
          <w:sz w:val="21"/>
          <w:szCs w:val="21"/>
        </w:rPr>
        <w:t xml:space="preserve">: </w:t>
      </w:r>
      <w:r>
        <w:rPr>
          <w:rFonts w:ascii="Arial" w:hAnsi="Arial"/>
          <w:sz w:val="21"/>
          <w:szCs w:val="21"/>
        </w:rPr>
        <w:t>Mathematic</w:t>
      </w:r>
      <w:r w:rsidRPr="00B773B8">
        <w:rPr>
          <w:rFonts w:ascii="Arial" w:hAnsi="Arial"/>
          <w:sz w:val="21"/>
          <w:szCs w:val="21"/>
        </w:rPr>
        <w:t>s</w:t>
      </w:r>
      <w:r w:rsidRPr="00506C4F">
        <w:rPr>
          <w:rFonts w:ascii="Arial" w:hAnsi="Arial"/>
          <w:sz w:val="18"/>
          <w:szCs w:val="18"/>
        </w:rPr>
        <w:t xml:space="preserve"> </w:t>
      </w:r>
      <w:r w:rsidR="005C0071">
        <w:rPr>
          <w:rFonts w:ascii="Arial" w:hAnsi="Arial"/>
          <w:sz w:val="18"/>
          <w:szCs w:val="18"/>
        </w:rPr>
        <w:tab/>
        <w:t>Rev. 8/7/2012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5C0071">
        <w:rPr>
          <w:rFonts w:ascii="Arial" w:hAnsi="Arial"/>
          <w:sz w:val="18"/>
          <w:szCs w:val="18"/>
        </w:rPr>
        <w:tab/>
      </w:r>
    </w:p>
    <w:p w:rsidR="00506C4F" w:rsidRPr="00A94C31" w:rsidRDefault="00506C4F" w:rsidP="005C0071">
      <w:pPr>
        <w:tabs>
          <w:tab w:val="right" w:pos="10800"/>
        </w:tabs>
        <w:rPr>
          <w:rFonts w:ascii="Arial" w:hAnsi="Arial"/>
          <w:b/>
          <w:sz w:val="21"/>
          <w:szCs w:val="21"/>
        </w:rPr>
      </w:pPr>
      <w:r w:rsidRPr="00A94C31">
        <w:rPr>
          <w:rFonts w:ascii="Arial" w:hAnsi="Arial"/>
          <w:b/>
          <w:sz w:val="21"/>
          <w:szCs w:val="21"/>
        </w:rPr>
        <w:t>Total units</w:t>
      </w:r>
      <w:r w:rsidRPr="00A94C31">
        <w:rPr>
          <w:rFonts w:ascii="Arial" w:hAnsi="Arial"/>
          <w:sz w:val="21"/>
          <w:szCs w:val="21"/>
        </w:rPr>
        <w:t xml:space="preserve">: 18 </w:t>
      </w:r>
      <w:r w:rsidRPr="00A94C31">
        <w:rPr>
          <w:rFonts w:ascii="Arial" w:hAnsi="Arial"/>
          <w:i/>
          <w:sz w:val="21"/>
          <w:szCs w:val="21"/>
        </w:rPr>
        <w:t>(all units are semester units)</w:t>
      </w:r>
      <w:r w:rsidR="005C0071">
        <w:rPr>
          <w:rFonts w:ascii="Arial" w:hAnsi="Arial"/>
          <w:i/>
          <w:sz w:val="21"/>
          <w:szCs w:val="21"/>
        </w:rPr>
        <w:tab/>
        <w:t xml:space="preserve">  </w:t>
      </w:r>
      <w:r w:rsidR="005C0071">
        <w:rPr>
          <w:rFonts w:ascii="Arial" w:hAnsi="Arial"/>
          <w:sz w:val="18"/>
          <w:szCs w:val="18"/>
        </w:rPr>
        <w:t>Template #2001</w:t>
      </w:r>
    </w:p>
    <w:p w:rsidR="00605491" w:rsidRPr="00A94C31" w:rsidRDefault="00F472A0" w:rsidP="00F472A0">
      <w:pPr>
        <w:tabs>
          <w:tab w:val="right" w:pos="10710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:rsidR="00C16006" w:rsidRPr="008B3B7E" w:rsidRDefault="00C16006" w:rsidP="008B3B7E">
      <w:pPr>
        <w:spacing w:before="120" w:after="120"/>
        <w:rPr>
          <w:rFonts w:ascii="Arial" w:hAnsi="Arial" w:cs="Arial"/>
          <w:sz w:val="20"/>
          <w:szCs w:val="20"/>
        </w:rPr>
      </w:pPr>
      <w:r w:rsidRPr="008B3B7E">
        <w:rPr>
          <w:rFonts w:ascii="Arial" w:hAnsi="Arial" w:cs="Arial"/>
          <w:sz w:val="20"/>
          <w:szCs w:val="20"/>
        </w:rPr>
        <w:t xml:space="preserve">In the four columns on the right, enter the course identifier, course title and number of units of a course that is comparable to the course indicated for the TMC (in the far left column). If the course may be double-counted, put an X in the GE column. </w:t>
      </w:r>
    </w:p>
    <w:p w:rsidR="00605491" w:rsidRPr="008B3B7E" w:rsidRDefault="00C16006" w:rsidP="008B3B7E">
      <w:pPr>
        <w:spacing w:before="120" w:after="120"/>
        <w:rPr>
          <w:rFonts w:ascii="Arial" w:hAnsi="Arial" w:cs="Arial"/>
          <w:sz w:val="22"/>
          <w:szCs w:val="22"/>
        </w:rPr>
      </w:pPr>
      <w:r w:rsidRPr="008B3B7E">
        <w:rPr>
          <w:rFonts w:ascii="Arial" w:hAnsi="Arial" w:cs="Arial"/>
          <w:sz w:val="20"/>
          <w:szCs w:val="20"/>
        </w:rPr>
        <w:t xml:space="preserve">The units indicated in the TMC are semester units – and they are minimum units. </w:t>
      </w:r>
      <w:r w:rsidR="00FE22AF" w:rsidRPr="009026AC">
        <w:rPr>
          <w:rFonts w:ascii="Arial" w:hAnsi="Arial" w:cs="Arial"/>
          <w:sz w:val="20"/>
          <w:szCs w:val="20"/>
        </w:rPr>
        <w:t>All courses must be CSU transferable.</w:t>
      </w:r>
      <w:r w:rsidRPr="009026AC">
        <w:rPr>
          <w:rFonts w:ascii="Arial" w:hAnsi="Arial" w:cs="Arial"/>
          <w:sz w:val="20"/>
          <w:szCs w:val="20"/>
        </w:rPr>
        <w:t xml:space="preserve"> </w:t>
      </w:r>
      <w:r w:rsidR="008B3B7E" w:rsidRPr="009026AC">
        <w:rPr>
          <w:rFonts w:ascii="Arial" w:hAnsi="Arial" w:cs="Arial"/>
          <w:sz w:val="20"/>
          <w:szCs w:val="20"/>
        </w:rPr>
        <w:t>Where there is an indicated C-ID descriptor, you are certifying that your course is comparable.  Where no reference descriptor is indicated</w:t>
      </w:r>
      <w:r w:rsidRPr="009026AC">
        <w:rPr>
          <w:rFonts w:ascii="Arial" w:hAnsi="Arial" w:cs="Arial"/>
          <w:sz w:val="20"/>
          <w:szCs w:val="20"/>
        </w:rPr>
        <w:t xml:space="preserve">, discipline faculty should compare the existing course to the sample course description(s) provided in the TMC at </w:t>
      </w:r>
      <w:hyperlink r:id="rId9" w:history="1">
        <w:r w:rsidRPr="009026AC">
          <w:rPr>
            <w:rStyle w:val="Hyperlink"/>
            <w:rFonts w:ascii="Arial" w:hAnsi="Arial" w:cs="Arial"/>
            <w:sz w:val="20"/>
            <w:szCs w:val="20"/>
          </w:rPr>
          <w:t>http://www.c-id.net/degreereview.html</w:t>
        </w:r>
      </w:hyperlink>
      <w:r w:rsidR="00BD6CEC" w:rsidRPr="009026AC">
        <w:rPr>
          <w:rFonts w:ascii="Arial" w:hAnsi="Arial" w:cs="Arial"/>
          <w:sz w:val="20"/>
          <w:szCs w:val="20"/>
        </w:rPr>
        <w:t xml:space="preserve"> and attach the appropriate report from ASSIST showing the required transferability status (i.e., CSU transferable, general education, or major preparation at CSU).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710"/>
        <w:gridCol w:w="1170"/>
        <w:gridCol w:w="2610"/>
        <w:gridCol w:w="900"/>
        <w:gridCol w:w="720"/>
      </w:tblGrid>
      <w:tr w:rsidR="00605491" w:rsidRPr="00E00ABD" w:rsidTr="00972B20">
        <w:trPr>
          <w:trHeight w:val="257"/>
        </w:trPr>
        <w:tc>
          <w:tcPr>
            <w:tcW w:w="5778" w:type="dxa"/>
            <w:gridSpan w:val="2"/>
            <w:shd w:val="clear" w:color="auto" w:fill="E0E0E0"/>
          </w:tcPr>
          <w:p w:rsidR="00605491" w:rsidRPr="00E00ABD" w:rsidRDefault="009F0389" w:rsidP="00222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Mathematic</w:t>
            </w:r>
            <w:r w:rsidR="0037017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05491" w:rsidRPr="00E00ABD">
              <w:rPr>
                <w:rFonts w:ascii="Arial" w:hAnsi="Arial" w:cs="Arial"/>
                <w:b/>
                <w:sz w:val="20"/>
                <w:szCs w:val="20"/>
              </w:rPr>
              <w:t xml:space="preserve"> Transfer Model Curriculum  </w:t>
            </w:r>
          </w:p>
        </w:tc>
        <w:tc>
          <w:tcPr>
            <w:tcW w:w="5400" w:type="dxa"/>
            <w:gridSpan w:val="4"/>
            <w:shd w:val="clear" w:color="auto" w:fill="E0E0E0"/>
          </w:tcPr>
          <w:p w:rsidR="0037017A" w:rsidRDefault="00605491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 xml:space="preserve">Associate in </w:t>
            </w:r>
            <w:r w:rsidR="00014CD8">
              <w:rPr>
                <w:rFonts w:ascii="Arial" w:hAnsi="Arial" w:cs="Arial"/>
                <w:b/>
                <w:sz w:val="20"/>
                <w:szCs w:val="20"/>
              </w:rPr>
              <w:t>Science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 xml:space="preserve">egree in </w:t>
            </w:r>
          </w:p>
          <w:p w:rsidR="00605491" w:rsidRPr="00E00ABD" w:rsidRDefault="009F0389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Mathematic</w:t>
            </w:r>
            <w:r w:rsidR="0037017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05491" w:rsidRPr="00E00ABD">
              <w:rPr>
                <w:rFonts w:ascii="Arial" w:hAnsi="Arial" w:cs="Arial"/>
                <w:b/>
                <w:sz w:val="20"/>
                <w:szCs w:val="20"/>
              </w:rPr>
              <w:t xml:space="preserve"> for </w:t>
            </w:r>
            <w:r w:rsidR="007F62E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605491" w:rsidRPr="00E00ABD">
              <w:rPr>
                <w:rFonts w:ascii="Arial" w:hAnsi="Arial" w:cs="Arial"/>
                <w:b/>
                <w:sz w:val="20"/>
                <w:szCs w:val="20"/>
              </w:rPr>
              <w:t>ransfer</w:t>
            </w:r>
          </w:p>
          <w:p w:rsidR="009F0389" w:rsidRDefault="00605491" w:rsidP="009F0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College Name: </w:t>
            </w:r>
            <w:bookmarkStart w:id="1" w:name="Text2"/>
            <w:r w:rsidR="008F22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6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F22C9">
              <w:rPr>
                <w:rFonts w:ascii="Arial" w:hAnsi="Arial" w:cs="Arial"/>
                <w:sz w:val="20"/>
                <w:szCs w:val="20"/>
              </w:rPr>
            </w:r>
            <w:r w:rsidR="008F22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162A">
              <w:rPr>
                <w:rFonts w:ascii="Arial" w:hAnsi="Arial" w:cs="Arial"/>
                <w:sz w:val="20"/>
                <w:szCs w:val="20"/>
              </w:rPr>
              <w:t> </w:t>
            </w:r>
            <w:r w:rsidR="0034162A">
              <w:rPr>
                <w:rFonts w:ascii="Arial" w:hAnsi="Arial" w:cs="Arial"/>
                <w:sz w:val="20"/>
                <w:szCs w:val="20"/>
              </w:rPr>
              <w:t> </w:t>
            </w:r>
            <w:r w:rsidR="0034162A">
              <w:rPr>
                <w:rFonts w:ascii="Arial" w:hAnsi="Arial" w:cs="Arial"/>
                <w:sz w:val="20"/>
                <w:szCs w:val="20"/>
              </w:rPr>
              <w:t> </w:t>
            </w:r>
            <w:r w:rsidR="0034162A">
              <w:rPr>
                <w:rFonts w:ascii="Arial" w:hAnsi="Arial" w:cs="Arial"/>
                <w:sz w:val="20"/>
                <w:szCs w:val="20"/>
              </w:rPr>
              <w:t> </w:t>
            </w:r>
            <w:r w:rsidR="0034162A">
              <w:rPr>
                <w:rFonts w:ascii="Arial" w:hAnsi="Arial" w:cs="Arial"/>
                <w:sz w:val="20"/>
                <w:szCs w:val="20"/>
              </w:rPr>
              <w:t> </w:t>
            </w:r>
            <w:r w:rsidR="008F22C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E00A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5491" w:rsidRPr="00E00ABD" w:rsidRDefault="00605491" w:rsidP="009F0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ABD">
              <w:rPr>
                <w:rFonts w:ascii="Arial" w:hAnsi="Arial" w:cs="Arial"/>
                <w:sz w:val="20"/>
                <w:szCs w:val="20"/>
              </w:rPr>
              <w:t>Program Requirements</w:t>
            </w:r>
          </w:p>
        </w:tc>
      </w:tr>
      <w:tr w:rsidR="00605491" w:rsidRPr="00E00ABD" w:rsidTr="002C6D7E">
        <w:trPr>
          <w:trHeight w:val="257"/>
        </w:trPr>
        <w:tc>
          <w:tcPr>
            <w:tcW w:w="4068" w:type="dxa"/>
            <w:shd w:val="clear" w:color="auto" w:fill="E0E0E0"/>
          </w:tcPr>
          <w:p w:rsidR="00605491" w:rsidRPr="00E00ABD" w:rsidRDefault="00605491" w:rsidP="00222F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Title (units)</w:t>
            </w:r>
          </w:p>
        </w:tc>
        <w:tc>
          <w:tcPr>
            <w:tcW w:w="1710" w:type="dxa"/>
            <w:shd w:val="clear" w:color="auto" w:fill="E0E0E0"/>
          </w:tcPr>
          <w:p w:rsidR="00605491" w:rsidRPr="00E00ABD" w:rsidRDefault="00605491" w:rsidP="00BD6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C-ID Designation</w:t>
            </w:r>
          </w:p>
        </w:tc>
        <w:tc>
          <w:tcPr>
            <w:tcW w:w="1170" w:type="dxa"/>
            <w:shd w:val="clear" w:color="auto" w:fill="E0E0E0"/>
          </w:tcPr>
          <w:p w:rsidR="00605491" w:rsidRPr="00E00ABD" w:rsidRDefault="00605491" w:rsidP="00222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ID</w:t>
            </w:r>
          </w:p>
        </w:tc>
        <w:tc>
          <w:tcPr>
            <w:tcW w:w="2610" w:type="dxa"/>
            <w:shd w:val="clear" w:color="auto" w:fill="E0E0E0"/>
          </w:tcPr>
          <w:p w:rsidR="00605491" w:rsidRPr="00E00ABD" w:rsidRDefault="00605491" w:rsidP="00222F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900" w:type="dxa"/>
            <w:shd w:val="clear" w:color="auto" w:fill="E0E0E0"/>
          </w:tcPr>
          <w:p w:rsidR="00605491" w:rsidRPr="00E00ABD" w:rsidRDefault="00605491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720" w:type="dxa"/>
            <w:shd w:val="clear" w:color="auto" w:fill="E0E0E0"/>
          </w:tcPr>
          <w:p w:rsidR="00605491" w:rsidRPr="00E00ABD" w:rsidRDefault="00605491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GE</w:t>
            </w:r>
          </w:p>
        </w:tc>
      </w:tr>
      <w:tr w:rsidR="00605491" w:rsidRPr="00E00ABD" w:rsidTr="009E16ED">
        <w:trPr>
          <w:trHeight w:val="257"/>
        </w:trPr>
        <w:tc>
          <w:tcPr>
            <w:tcW w:w="4068" w:type="dxa"/>
          </w:tcPr>
          <w:p w:rsidR="00605491" w:rsidRPr="00E00ABD" w:rsidRDefault="00605491" w:rsidP="00F22F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Required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Core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6D7E">
              <w:rPr>
                <w:rFonts w:ascii="Arial" w:hAnsi="Arial" w:cs="Arial"/>
                <w:sz w:val="20"/>
                <w:szCs w:val="20"/>
              </w:rPr>
              <w:t>12</w:t>
            </w:r>
            <w:r w:rsidR="00F22F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ABD">
              <w:rPr>
                <w:rFonts w:ascii="Arial" w:hAnsi="Arial" w:cs="Arial"/>
                <w:sz w:val="20"/>
                <w:szCs w:val="20"/>
              </w:rPr>
              <w:t>units</w:t>
            </w:r>
            <w:r w:rsidR="002C6D7E">
              <w:rPr>
                <w:rFonts w:ascii="Arial" w:hAnsi="Arial" w:cs="Arial"/>
                <w:sz w:val="20"/>
                <w:szCs w:val="20"/>
              </w:rPr>
              <w:t xml:space="preserve"> from one of the following options: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605491" w:rsidRPr="00EF6A3A" w:rsidRDefault="00605491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605491" w:rsidRPr="00EF6A3A" w:rsidRDefault="00605491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605491" w:rsidRPr="00EF6A3A" w:rsidRDefault="00605491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605491" w:rsidRPr="00EF6A3A" w:rsidRDefault="00605491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05491" w:rsidRPr="00EF6A3A" w:rsidRDefault="00605491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6D7E" w:rsidRPr="00E00ABD" w:rsidTr="009E16ED">
        <w:trPr>
          <w:trHeight w:val="257"/>
        </w:trPr>
        <w:tc>
          <w:tcPr>
            <w:tcW w:w="4068" w:type="dxa"/>
          </w:tcPr>
          <w:p w:rsidR="002C6D7E" w:rsidRDefault="009E16ED" w:rsidP="002C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 1 (all of the following</w:t>
            </w:r>
            <w:r w:rsidR="002C6D7E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2C6D7E" w:rsidRPr="009E16ED" w:rsidRDefault="002C6D7E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2C6D7E" w:rsidRPr="009E16ED" w:rsidRDefault="002C6D7E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2C6D7E" w:rsidRPr="009E16ED" w:rsidRDefault="002C6D7E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2C6D7E" w:rsidRPr="009E16ED" w:rsidRDefault="002C6D7E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2C6D7E" w:rsidRPr="009E16ED" w:rsidRDefault="002C6D7E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5491" w:rsidRPr="00E00ABD" w:rsidTr="002C6D7E">
        <w:trPr>
          <w:trHeight w:val="257"/>
        </w:trPr>
        <w:tc>
          <w:tcPr>
            <w:tcW w:w="4068" w:type="dxa"/>
          </w:tcPr>
          <w:p w:rsidR="00605491" w:rsidRDefault="00F22FB4" w:rsidP="002C6D7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– Early Transcendentals (4)</w:t>
            </w:r>
          </w:p>
          <w:p w:rsidR="00F22FB4" w:rsidRDefault="00F22FB4" w:rsidP="002C6D7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22FB4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22FB4" w:rsidRPr="00F22FB4" w:rsidRDefault="00F22FB4" w:rsidP="002C6D7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– Late Transcendentals (4)</w:t>
            </w:r>
          </w:p>
        </w:tc>
        <w:tc>
          <w:tcPr>
            <w:tcW w:w="1710" w:type="dxa"/>
          </w:tcPr>
          <w:p w:rsidR="00F22FB4" w:rsidRDefault="002C6D7E" w:rsidP="004C4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22FB4">
              <w:rPr>
                <w:rFonts w:ascii="Arial" w:hAnsi="Arial" w:cs="Arial"/>
                <w:sz w:val="20"/>
                <w:szCs w:val="20"/>
              </w:rPr>
              <w:t>ATH</w:t>
            </w:r>
            <w:r>
              <w:rPr>
                <w:rFonts w:ascii="Arial" w:hAnsi="Arial" w:cs="Arial"/>
                <w:sz w:val="20"/>
                <w:szCs w:val="20"/>
              </w:rPr>
              <w:t xml:space="preserve"> 210</w:t>
            </w:r>
          </w:p>
          <w:p w:rsidR="00F22FB4" w:rsidRDefault="00F22FB4" w:rsidP="00F22FB4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FB4" w:rsidRDefault="00F22FB4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Or</w:t>
            </w:r>
          </w:p>
          <w:p w:rsidR="00605491" w:rsidRPr="00E00ABD" w:rsidRDefault="002C6D7E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FB4">
              <w:rPr>
                <w:rFonts w:ascii="Arial" w:hAnsi="Arial" w:cs="Arial"/>
                <w:sz w:val="20"/>
                <w:szCs w:val="20"/>
              </w:rPr>
              <w:t xml:space="preserve">MATH </w:t>
            </w:r>
            <w:r>
              <w:rPr>
                <w:rFonts w:ascii="Arial" w:hAnsi="Arial" w:cs="Arial"/>
                <w:sz w:val="20"/>
                <w:szCs w:val="20"/>
              </w:rPr>
              <w:t xml:space="preserve"> 211</w:t>
            </w:r>
          </w:p>
        </w:tc>
        <w:tc>
          <w:tcPr>
            <w:tcW w:w="1170" w:type="dxa"/>
          </w:tcPr>
          <w:p w:rsidR="00605491" w:rsidRPr="00E00ABD" w:rsidRDefault="008F22C9" w:rsidP="004C4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B6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6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10" w:type="dxa"/>
          </w:tcPr>
          <w:p w:rsidR="00605491" w:rsidRPr="00E00ABD" w:rsidRDefault="008F22C9" w:rsidP="004C4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B6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6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00" w:type="dxa"/>
          </w:tcPr>
          <w:p w:rsidR="00605491" w:rsidRPr="00E00ABD" w:rsidRDefault="008F22C9" w:rsidP="00E00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B6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B6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B6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</w:tcPr>
          <w:p w:rsidR="00605491" w:rsidRPr="00E00ABD" w:rsidRDefault="008F22C9" w:rsidP="00E00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DB6D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5702B0" w:rsidRPr="002C6D7E" w:rsidTr="002C6D7E">
        <w:trPr>
          <w:trHeight w:val="143"/>
        </w:trPr>
        <w:tc>
          <w:tcPr>
            <w:tcW w:w="4068" w:type="dxa"/>
          </w:tcPr>
          <w:p w:rsidR="00F22FB4" w:rsidRDefault="00F22FB4" w:rsidP="00F22F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II – Early Transcendentals (4)</w:t>
            </w:r>
          </w:p>
          <w:p w:rsidR="00F22FB4" w:rsidRDefault="00F22FB4" w:rsidP="00F22FB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22FB4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5702B0" w:rsidRPr="002C6D7E" w:rsidRDefault="00F22FB4" w:rsidP="00F22F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II – Late Transcendentals (4)</w:t>
            </w:r>
          </w:p>
        </w:tc>
        <w:tc>
          <w:tcPr>
            <w:tcW w:w="1710" w:type="dxa"/>
            <w:shd w:val="clear" w:color="auto" w:fill="auto"/>
          </w:tcPr>
          <w:p w:rsidR="00F22FB4" w:rsidRDefault="005702B0" w:rsidP="00EF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22FB4">
              <w:rPr>
                <w:rFonts w:ascii="Arial" w:hAnsi="Arial" w:cs="Arial"/>
                <w:sz w:val="20"/>
                <w:szCs w:val="20"/>
              </w:rPr>
              <w:t>ATH</w:t>
            </w:r>
            <w:r>
              <w:rPr>
                <w:rFonts w:ascii="Arial" w:hAnsi="Arial" w:cs="Arial"/>
                <w:sz w:val="20"/>
                <w:szCs w:val="20"/>
              </w:rPr>
              <w:t xml:space="preserve"> 220</w:t>
            </w:r>
          </w:p>
          <w:p w:rsidR="00F22FB4" w:rsidRDefault="00F22FB4" w:rsidP="00EF6A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22FB4" w:rsidRDefault="005702B0" w:rsidP="00EF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2FB4">
              <w:rPr>
                <w:rFonts w:ascii="Arial" w:hAnsi="Arial" w:cs="Arial"/>
                <w:sz w:val="20"/>
                <w:szCs w:val="20"/>
              </w:rPr>
              <w:t xml:space="preserve">      Or</w:t>
            </w:r>
          </w:p>
          <w:p w:rsidR="005702B0" w:rsidRPr="002C6D7E" w:rsidRDefault="00F22FB4" w:rsidP="00EF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 </w:t>
            </w:r>
            <w:r w:rsidR="005702B0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170" w:type="dxa"/>
            <w:shd w:val="clear" w:color="auto" w:fill="auto"/>
          </w:tcPr>
          <w:p w:rsidR="005702B0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02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5702B0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2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702B0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702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5702B0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2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02B0" w:rsidRPr="002C6D7E" w:rsidTr="002C6D7E">
        <w:trPr>
          <w:trHeight w:val="143"/>
        </w:trPr>
        <w:tc>
          <w:tcPr>
            <w:tcW w:w="4068" w:type="dxa"/>
          </w:tcPr>
          <w:p w:rsidR="005702B0" w:rsidRPr="002C6D7E" w:rsidRDefault="00F22FB4" w:rsidP="00F22F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Multivariable Calculus (4</w:t>
            </w:r>
            <w:r w:rsidR="005702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5702B0" w:rsidRPr="002C6D7E" w:rsidRDefault="00F22FB4" w:rsidP="00EF6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</w:t>
            </w:r>
            <w:r w:rsidR="005702B0">
              <w:rPr>
                <w:rFonts w:ascii="Arial" w:hAnsi="Arial" w:cs="Arial"/>
                <w:sz w:val="20"/>
                <w:szCs w:val="20"/>
              </w:rPr>
              <w:t xml:space="preserve"> 230</w:t>
            </w:r>
          </w:p>
        </w:tc>
        <w:tc>
          <w:tcPr>
            <w:tcW w:w="1170" w:type="dxa"/>
            <w:shd w:val="clear" w:color="auto" w:fill="auto"/>
          </w:tcPr>
          <w:p w:rsidR="005702B0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02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5702B0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2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702B0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702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5702B0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2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2FB4" w:rsidRPr="00E00ABD" w:rsidTr="009E16ED">
        <w:trPr>
          <w:trHeight w:val="257"/>
        </w:trPr>
        <w:tc>
          <w:tcPr>
            <w:tcW w:w="4068" w:type="dxa"/>
          </w:tcPr>
          <w:p w:rsidR="00F22FB4" w:rsidRPr="00F22FB4" w:rsidRDefault="00F22FB4" w:rsidP="002C6D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F22FB4" w:rsidRDefault="00F22FB4" w:rsidP="00F2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22FB4" w:rsidRPr="00E00ABD" w:rsidRDefault="00F22FB4" w:rsidP="00F2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F22FB4" w:rsidRPr="00E00ABD" w:rsidRDefault="00F22FB4" w:rsidP="00F2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22FB4" w:rsidRPr="00E00ABD" w:rsidRDefault="00F22FB4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22FB4" w:rsidRPr="00E00ABD" w:rsidRDefault="00F22FB4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2B0" w:rsidRPr="00E00ABD" w:rsidTr="009E16ED">
        <w:trPr>
          <w:trHeight w:val="257"/>
        </w:trPr>
        <w:tc>
          <w:tcPr>
            <w:tcW w:w="4068" w:type="dxa"/>
          </w:tcPr>
          <w:p w:rsidR="005702B0" w:rsidRDefault="005702B0" w:rsidP="002C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Option 2 (all of the following):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702B0" w:rsidRDefault="005702B0" w:rsidP="00F2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5702B0" w:rsidRPr="00E00ABD" w:rsidRDefault="005702B0" w:rsidP="00F2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5702B0" w:rsidRPr="00E00ABD" w:rsidRDefault="005702B0" w:rsidP="00F2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5702B0" w:rsidRPr="00E00ABD" w:rsidRDefault="005702B0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5702B0" w:rsidRPr="00E00ABD" w:rsidRDefault="005702B0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2B0" w:rsidRPr="00E00ABD" w:rsidTr="00F22FB4">
        <w:trPr>
          <w:trHeight w:val="257"/>
        </w:trPr>
        <w:tc>
          <w:tcPr>
            <w:tcW w:w="4068" w:type="dxa"/>
          </w:tcPr>
          <w:p w:rsidR="00F22FB4" w:rsidRDefault="00F22FB4" w:rsidP="00F22F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Sequence (2 semesters or 3 quarters) (8)</w:t>
            </w:r>
          </w:p>
          <w:p w:rsidR="00F22FB4" w:rsidRPr="00F22FB4" w:rsidRDefault="00F22FB4" w:rsidP="00F22FB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22FB4" w:rsidRDefault="00F22FB4" w:rsidP="00F22F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– Early Transcendentals (4)</w:t>
            </w:r>
          </w:p>
          <w:p w:rsidR="00F22FB4" w:rsidRDefault="00F22FB4" w:rsidP="00F22FB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5702B0" w:rsidRDefault="00F22FB4" w:rsidP="00F22FB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II – Early Transcendentals (4)</w:t>
            </w:r>
          </w:p>
          <w:p w:rsidR="00F22FB4" w:rsidRPr="00F22FB4" w:rsidRDefault="00F22FB4" w:rsidP="00F22FB4">
            <w:pPr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22FB4" w:rsidRDefault="00F22FB4" w:rsidP="00F22FB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– Late Transcendentals (4)</w:t>
            </w:r>
          </w:p>
          <w:p w:rsidR="00F22FB4" w:rsidRDefault="00F22FB4" w:rsidP="00F22FB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:rsidR="00F22FB4" w:rsidRPr="00E00ABD" w:rsidRDefault="00F22FB4" w:rsidP="00F22FB4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II – Late Transcendentals (4)</w:t>
            </w:r>
          </w:p>
        </w:tc>
        <w:tc>
          <w:tcPr>
            <w:tcW w:w="1710" w:type="dxa"/>
          </w:tcPr>
          <w:p w:rsidR="005702B0" w:rsidRDefault="005702B0" w:rsidP="004C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4C4D8F">
              <w:rPr>
                <w:rFonts w:ascii="Arial" w:hAnsi="Arial" w:cs="Arial"/>
                <w:sz w:val="20"/>
                <w:szCs w:val="20"/>
              </w:rPr>
              <w:t>ATH</w:t>
            </w:r>
            <w:r>
              <w:rPr>
                <w:rFonts w:ascii="Arial" w:hAnsi="Arial" w:cs="Arial"/>
                <w:sz w:val="20"/>
                <w:szCs w:val="20"/>
              </w:rPr>
              <w:t xml:space="preserve"> 900</w:t>
            </w:r>
            <w:r w:rsidR="00F22FB4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4C4D8F" w:rsidRDefault="004C4D8F" w:rsidP="004C4D8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D8F" w:rsidRDefault="004C4D8F" w:rsidP="004C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Or</w:t>
            </w:r>
          </w:p>
          <w:p w:rsidR="004C4D8F" w:rsidRDefault="004C4D8F" w:rsidP="004C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210</w:t>
            </w:r>
          </w:p>
          <w:p w:rsidR="004C4D8F" w:rsidRDefault="004C4D8F" w:rsidP="004C4D8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D8F" w:rsidRDefault="004C4D8F" w:rsidP="004C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And</w:t>
            </w:r>
          </w:p>
          <w:p w:rsidR="004C4D8F" w:rsidRDefault="004C4D8F" w:rsidP="004C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220</w:t>
            </w:r>
          </w:p>
          <w:p w:rsidR="004C4D8F" w:rsidRDefault="004C4D8F" w:rsidP="004C4D8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D8F" w:rsidRDefault="004C4D8F" w:rsidP="004C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Or</w:t>
            </w:r>
          </w:p>
          <w:p w:rsidR="004C4D8F" w:rsidRDefault="004C4D8F" w:rsidP="004C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211</w:t>
            </w:r>
          </w:p>
          <w:p w:rsidR="004C4D8F" w:rsidRDefault="004C4D8F" w:rsidP="004C4D8F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D8F" w:rsidRDefault="004C4D8F" w:rsidP="004C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And</w:t>
            </w:r>
          </w:p>
          <w:p w:rsidR="004C4D8F" w:rsidRPr="00E00ABD" w:rsidRDefault="004C4D8F" w:rsidP="004C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221</w:t>
            </w:r>
          </w:p>
        </w:tc>
        <w:tc>
          <w:tcPr>
            <w:tcW w:w="1170" w:type="dxa"/>
          </w:tcPr>
          <w:p w:rsidR="005702B0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02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5702B0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2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5702B0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702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5702B0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2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02B0" w:rsidRPr="002C6D7E" w:rsidTr="00F22FB4">
        <w:trPr>
          <w:trHeight w:val="143"/>
        </w:trPr>
        <w:tc>
          <w:tcPr>
            <w:tcW w:w="4068" w:type="dxa"/>
          </w:tcPr>
          <w:p w:rsidR="005702B0" w:rsidRPr="002C6D7E" w:rsidRDefault="004C4D8F" w:rsidP="004C4D8F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Multivariable Calculus (4</w:t>
            </w:r>
            <w:r w:rsidR="005702B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5702B0" w:rsidRPr="002C6D7E" w:rsidRDefault="004C4D8F" w:rsidP="002C6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</w:t>
            </w:r>
            <w:r w:rsidR="005702B0">
              <w:rPr>
                <w:rFonts w:ascii="Arial" w:hAnsi="Arial" w:cs="Arial"/>
                <w:sz w:val="20"/>
                <w:szCs w:val="20"/>
              </w:rPr>
              <w:t xml:space="preserve"> 230</w:t>
            </w:r>
          </w:p>
        </w:tc>
        <w:tc>
          <w:tcPr>
            <w:tcW w:w="1170" w:type="dxa"/>
            <w:shd w:val="clear" w:color="auto" w:fill="auto"/>
          </w:tcPr>
          <w:p w:rsidR="005702B0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02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shd w:val="clear" w:color="auto" w:fill="auto"/>
          </w:tcPr>
          <w:p w:rsidR="005702B0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02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5702B0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702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702B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5702B0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2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4D8F" w:rsidRPr="00E00ABD" w:rsidTr="009E16ED">
        <w:trPr>
          <w:trHeight w:val="257"/>
        </w:trPr>
        <w:tc>
          <w:tcPr>
            <w:tcW w:w="4068" w:type="dxa"/>
          </w:tcPr>
          <w:p w:rsidR="004C4D8F" w:rsidRPr="004C4D8F" w:rsidRDefault="004C4D8F" w:rsidP="009E16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4C4D8F" w:rsidRDefault="004C4D8F" w:rsidP="00F2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4C4D8F" w:rsidRPr="00E00ABD" w:rsidRDefault="004C4D8F" w:rsidP="00F2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4C4D8F" w:rsidRPr="00E00ABD" w:rsidRDefault="004C4D8F" w:rsidP="00F2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4C4D8F" w:rsidRPr="00E00ABD" w:rsidRDefault="004C4D8F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4C4D8F" w:rsidRPr="00E00ABD" w:rsidRDefault="004C4D8F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2B0" w:rsidRPr="00E00ABD" w:rsidTr="009E16ED">
        <w:trPr>
          <w:trHeight w:val="257"/>
        </w:trPr>
        <w:tc>
          <w:tcPr>
            <w:tcW w:w="4068" w:type="dxa"/>
          </w:tcPr>
          <w:p w:rsidR="005702B0" w:rsidRDefault="005702B0" w:rsidP="009E1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 3: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702B0" w:rsidRDefault="005702B0" w:rsidP="00F2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5702B0" w:rsidRPr="00E00ABD" w:rsidRDefault="005702B0" w:rsidP="00F2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5702B0" w:rsidRPr="00E00ABD" w:rsidRDefault="005702B0" w:rsidP="00F2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5702B0" w:rsidRPr="00E00ABD" w:rsidRDefault="005702B0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5702B0" w:rsidRPr="00E00ABD" w:rsidRDefault="005702B0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3B3" w:rsidRPr="00E00ABD" w:rsidTr="00F22FB4">
        <w:trPr>
          <w:trHeight w:val="257"/>
        </w:trPr>
        <w:tc>
          <w:tcPr>
            <w:tcW w:w="4068" w:type="dxa"/>
          </w:tcPr>
          <w:p w:rsidR="00E273B3" w:rsidRPr="00E00ABD" w:rsidRDefault="00E273B3" w:rsidP="009E16ED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2C6D7E">
              <w:rPr>
                <w:rFonts w:ascii="Arial" w:hAnsi="Arial" w:cs="Arial"/>
                <w:sz w:val="20"/>
                <w:szCs w:val="20"/>
              </w:rPr>
              <w:t xml:space="preserve">Single Variable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Multivariable </w:t>
            </w:r>
            <w:r w:rsidRPr="002C6D7E">
              <w:rPr>
                <w:rFonts w:ascii="Arial" w:hAnsi="Arial" w:cs="Arial"/>
                <w:sz w:val="20"/>
                <w:szCs w:val="20"/>
              </w:rPr>
              <w:t>Calculus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7E">
              <w:rPr>
                <w:rFonts w:ascii="Arial" w:hAnsi="Arial" w:cs="Arial"/>
                <w:sz w:val="20"/>
                <w:szCs w:val="20"/>
              </w:rPr>
              <w:t>Sequence (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C6D7E">
              <w:rPr>
                <w:rFonts w:ascii="Arial" w:hAnsi="Arial" w:cs="Arial"/>
                <w:sz w:val="20"/>
                <w:szCs w:val="20"/>
              </w:rPr>
              <w:t xml:space="preserve"> sem</w:t>
            </w:r>
            <w:r>
              <w:rPr>
                <w:rFonts w:ascii="Arial" w:hAnsi="Arial" w:cs="Arial"/>
                <w:sz w:val="20"/>
                <w:szCs w:val="20"/>
              </w:rPr>
              <w:t>ester</w:t>
            </w:r>
            <w:r w:rsidRPr="002C6D7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C6D7E">
              <w:rPr>
                <w:rFonts w:ascii="Arial" w:hAnsi="Arial" w:cs="Arial"/>
                <w:sz w:val="20"/>
                <w:szCs w:val="20"/>
              </w:rPr>
              <w:t xml:space="preserve"> quarters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≥12 units</w:t>
            </w:r>
            <w:r w:rsidRPr="002C6D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E273B3" w:rsidRPr="00E00ABD" w:rsidRDefault="008F22C9" w:rsidP="00655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E273B3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E273B3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E273B3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E273B3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C4D8F" w:rsidRDefault="004C4D8F">
      <w:r>
        <w:br w:type="page"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1440"/>
        <w:gridCol w:w="1170"/>
        <w:gridCol w:w="2610"/>
        <w:gridCol w:w="900"/>
        <w:gridCol w:w="720"/>
      </w:tblGrid>
      <w:tr w:rsidR="00461838" w:rsidRPr="00E00ABD" w:rsidTr="00461838">
        <w:trPr>
          <w:trHeight w:val="143"/>
        </w:trPr>
        <w:tc>
          <w:tcPr>
            <w:tcW w:w="4338" w:type="dxa"/>
          </w:tcPr>
          <w:p w:rsidR="00461838" w:rsidRPr="00461838" w:rsidRDefault="00461838" w:rsidP="000A16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 xml:space="preserve">Choose a minimum of 6 units from List A and B below with at least 3 units from List A. </w:t>
            </w:r>
          </w:p>
        </w:tc>
        <w:tc>
          <w:tcPr>
            <w:tcW w:w="6840" w:type="dxa"/>
            <w:gridSpan w:val="5"/>
            <w:shd w:val="clear" w:color="auto" w:fill="D9D9D9" w:themeFill="background1" w:themeFillShade="D9"/>
          </w:tcPr>
          <w:p w:rsidR="00461838" w:rsidRPr="00EF6A3A" w:rsidRDefault="00461838" w:rsidP="00EF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160B" w:rsidRPr="00E00ABD" w:rsidTr="00461838">
        <w:trPr>
          <w:trHeight w:val="143"/>
        </w:trPr>
        <w:tc>
          <w:tcPr>
            <w:tcW w:w="4338" w:type="dxa"/>
          </w:tcPr>
          <w:p w:rsidR="000A160B" w:rsidRPr="004306AF" w:rsidRDefault="000A160B" w:rsidP="000A1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A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Select one to two (3 – 6 units):</w:t>
            </w:r>
          </w:p>
        </w:tc>
        <w:tc>
          <w:tcPr>
            <w:tcW w:w="6840" w:type="dxa"/>
            <w:gridSpan w:val="5"/>
            <w:shd w:val="clear" w:color="auto" w:fill="D9D9D9" w:themeFill="background1" w:themeFillShade="D9"/>
          </w:tcPr>
          <w:p w:rsidR="000A160B" w:rsidRPr="00EF6A3A" w:rsidRDefault="000A160B" w:rsidP="00EF6A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73B3" w:rsidRPr="00E00ABD" w:rsidTr="00461838">
        <w:trPr>
          <w:trHeight w:val="257"/>
        </w:trPr>
        <w:tc>
          <w:tcPr>
            <w:tcW w:w="4338" w:type="dxa"/>
          </w:tcPr>
          <w:p w:rsidR="00E273B3" w:rsidRPr="00E00ABD" w:rsidRDefault="004C4D8F" w:rsidP="00DA3E8A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Ordinary Differential Equations (3</w:t>
            </w:r>
            <w:r w:rsidR="00E273B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440" w:type="dxa"/>
          </w:tcPr>
          <w:p w:rsidR="00E273B3" w:rsidRPr="00E00ABD" w:rsidRDefault="00E273B3" w:rsidP="004C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4C4D8F">
              <w:rPr>
                <w:rFonts w:ascii="Arial" w:hAnsi="Arial" w:cs="Arial"/>
                <w:sz w:val="20"/>
                <w:szCs w:val="20"/>
              </w:rPr>
              <w:t>ATH</w:t>
            </w:r>
            <w:r>
              <w:rPr>
                <w:rFonts w:ascii="Arial" w:hAnsi="Arial" w:cs="Arial"/>
                <w:sz w:val="20"/>
                <w:szCs w:val="20"/>
              </w:rPr>
              <w:t xml:space="preserve"> 240</w:t>
            </w:r>
          </w:p>
        </w:tc>
        <w:tc>
          <w:tcPr>
            <w:tcW w:w="1170" w:type="dxa"/>
          </w:tcPr>
          <w:p w:rsidR="00E273B3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E273B3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E273B3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E273B3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73B3" w:rsidRPr="00E00ABD" w:rsidTr="00461838">
        <w:trPr>
          <w:trHeight w:val="143"/>
        </w:trPr>
        <w:tc>
          <w:tcPr>
            <w:tcW w:w="4338" w:type="dxa"/>
          </w:tcPr>
          <w:p w:rsidR="00E273B3" w:rsidRPr="009E16ED" w:rsidRDefault="004C4D8F" w:rsidP="00237793">
            <w:pPr>
              <w:ind w:left="27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Linear Algebra (3</w:t>
            </w:r>
            <w:r w:rsidR="00E273B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273B3" w:rsidRPr="00E00ABD" w:rsidRDefault="00E273B3" w:rsidP="004C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4C4D8F">
              <w:rPr>
                <w:rFonts w:ascii="Arial" w:hAnsi="Arial" w:cs="Arial"/>
                <w:sz w:val="20"/>
                <w:szCs w:val="20"/>
              </w:rPr>
              <w:t>ATH</w:t>
            </w:r>
            <w:r>
              <w:rPr>
                <w:rFonts w:ascii="Arial" w:hAnsi="Arial" w:cs="Arial"/>
                <w:sz w:val="20"/>
                <w:szCs w:val="20"/>
              </w:rPr>
              <w:t xml:space="preserve"> 250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273B3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273B3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273B3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273B3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A160B" w:rsidRPr="00E00ABD" w:rsidTr="00461838">
        <w:trPr>
          <w:trHeight w:val="143"/>
        </w:trPr>
        <w:tc>
          <w:tcPr>
            <w:tcW w:w="4338" w:type="dxa"/>
          </w:tcPr>
          <w:p w:rsidR="000A160B" w:rsidRPr="000A160B" w:rsidRDefault="000A160B" w:rsidP="000A160B">
            <w:pPr>
              <w:ind w:left="2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60B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A160B" w:rsidRDefault="000A160B" w:rsidP="00F2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0A160B" w:rsidRDefault="000A160B" w:rsidP="00F2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0A160B" w:rsidRDefault="000A160B" w:rsidP="00F22F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0A160B" w:rsidRDefault="000A160B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0A160B" w:rsidRDefault="000A160B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3B3" w:rsidRPr="00E00ABD" w:rsidTr="00461838">
        <w:trPr>
          <w:trHeight w:val="143"/>
        </w:trPr>
        <w:tc>
          <w:tcPr>
            <w:tcW w:w="4338" w:type="dxa"/>
          </w:tcPr>
          <w:p w:rsidR="00E273B3" w:rsidRPr="00E00ABD" w:rsidRDefault="00E273B3" w:rsidP="00BA7BD6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9E16ED">
              <w:rPr>
                <w:rFonts w:ascii="Arial" w:hAnsi="Arial" w:cs="Arial"/>
                <w:sz w:val="20"/>
                <w:szCs w:val="20"/>
              </w:rPr>
              <w:t>Differential Equations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16ED">
              <w:rPr>
                <w:rFonts w:ascii="Arial" w:hAnsi="Arial" w:cs="Arial"/>
                <w:sz w:val="20"/>
                <w:szCs w:val="20"/>
              </w:rPr>
              <w:t>and Linear Algebra</w:t>
            </w:r>
            <w:r w:rsidR="004C4D8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1440" w:type="dxa"/>
          </w:tcPr>
          <w:p w:rsidR="00E273B3" w:rsidRPr="00E00ABD" w:rsidRDefault="004C4D8F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910</w:t>
            </w:r>
          </w:p>
        </w:tc>
        <w:tc>
          <w:tcPr>
            <w:tcW w:w="1170" w:type="dxa"/>
          </w:tcPr>
          <w:p w:rsidR="00E273B3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E273B3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E273B3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E273B3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73B3" w:rsidRPr="00E00ABD" w:rsidTr="00461838">
        <w:tc>
          <w:tcPr>
            <w:tcW w:w="4338" w:type="dxa"/>
          </w:tcPr>
          <w:p w:rsidR="00E273B3" w:rsidRPr="006943E4" w:rsidRDefault="00E273B3" w:rsidP="004C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B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4D8F">
              <w:rPr>
                <w:rFonts w:ascii="Arial" w:hAnsi="Arial" w:cs="Arial"/>
                <w:sz w:val="20"/>
                <w:szCs w:val="20"/>
              </w:rPr>
              <w:t>Select  one (1 – 4 units):</w:t>
            </w:r>
          </w:p>
        </w:tc>
        <w:tc>
          <w:tcPr>
            <w:tcW w:w="1440" w:type="dxa"/>
            <w:shd w:val="clear" w:color="auto" w:fill="D9D9D9"/>
          </w:tcPr>
          <w:p w:rsidR="00E273B3" w:rsidRPr="00E00ABD" w:rsidRDefault="00E273B3" w:rsidP="00E20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9D9D9"/>
          </w:tcPr>
          <w:p w:rsidR="00E273B3" w:rsidRPr="00E00ABD" w:rsidRDefault="00E273B3" w:rsidP="00E20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/>
          </w:tcPr>
          <w:p w:rsidR="00E273B3" w:rsidRPr="00E00ABD" w:rsidRDefault="00E273B3" w:rsidP="00E20C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</w:tcPr>
          <w:p w:rsidR="00E273B3" w:rsidRPr="00E00ABD" w:rsidRDefault="00E273B3" w:rsidP="00E00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</w:tcPr>
          <w:p w:rsidR="00E273B3" w:rsidRPr="00E00ABD" w:rsidRDefault="00E273B3" w:rsidP="00E00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3B3" w:rsidRPr="00E00ABD" w:rsidTr="00461838">
        <w:trPr>
          <w:trHeight w:val="257"/>
        </w:trPr>
        <w:tc>
          <w:tcPr>
            <w:tcW w:w="4338" w:type="dxa"/>
          </w:tcPr>
          <w:p w:rsidR="00E273B3" w:rsidRPr="00E00ABD" w:rsidRDefault="004C4D8F" w:rsidP="005702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Discrete Math </w:t>
            </w:r>
            <w:r w:rsidR="00E273B3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440" w:type="dxa"/>
          </w:tcPr>
          <w:p w:rsidR="00E273B3" w:rsidRPr="00E00ABD" w:rsidRDefault="004C4D8F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160</w:t>
            </w:r>
          </w:p>
        </w:tc>
        <w:tc>
          <w:tcPr>
            <w:tcW w:w="1170" w:type="dxa"/>
          </w:tcPr>
          <w:p w:rsidR="00E273B3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E273B3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E273B3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E273B3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73B3" w:rsidRPr="00E00ABD" w:rsidTr="00461838">
        <w:trPr>
          <w:trHeight w:val="215"/>
        </w:trPr>
        <w:tc>
          <w:tcPr>
            <w:tcW w:w="4338" w:type="dxa"/>
          </w:tcPr>
          <w:p w:rsidR="00E273B3" w:rsidRPr="00E00ABD" w:rsidRDefault="004C4D8F" w:rsidP="006556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Calculus-based </w:t>
            </w:r>
            <w:r w:rsidR="00E273B3">
              <w:rPr>
                <w:rFonts w:ascii="Arial" w:hAnsi="Arial" w:cs="Arial"/>
                <w:sz w:val="20"/>
                <w:szCs w:val="20"/>
              </w:rPr>
              <w:t>Physics</w:t>
            </w:r>
            <w:r>
              <w:rPr>
                <w:rFonts w:ascii="Arial" w:hAnsi="Arial" w:cs="Arial"/>
                <w:sz w:val="20"/>
                <w:szCs w:val="20"/>
              </w:rPr>
              <w:t xml:space="preserve"> for Scientists and </w:t>
            </w:r>
            <w:r w:rsidR="00655663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ngineers: A</w:t>
            </w:r>
            <w:r w:rsidR="00E273B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273B3">
              <w:rPr>
                <w:rFonts w:ascii="Tahoma" w:hAnsi="Tahoma" w:cs="Tahoma"/>
                <w:color w:val="000000"/>
                <w:sz w:val="20"/>
                <w:szCs w:val="20"/>
              </w:rPr>
              <w:t xml:space="preserve">articulated as </w:t>
            </w:r>
            <w:r w:rsidR="00655663">
              <w:rPr>
                <w:rFonts w:ascii="Tahoma" w:hAnsi="Tahoma" w:cs="Tahoma"/>
                <w:color w:val="000000"/>
                <w:sz w:val="20"/>
                <w:szCs w:val="20"/>
              </w:rPr>
              <w:t xml:space="preserve">lower division </w:t>
            </w:r>
            <w:r w:rsidR="00E273B3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preparation for the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 w:rsidR="00E273B3">
              <w:rPr>
                <w:rFonts w:ascii="Tahoma" w:hAnsi="Tahoma" w:cs="Tahoma"/>
                <w:color w:val="000000"/>
                <w:sz w:val="20"/>
                <w:szCs w:val="20"/>
              </w:rPr>
              <w:t>hysics major at a CSU)</w:t>
            </w:r>
            <w:r w:rsidR="00E273B3">
              <w:rPr>
                <w:rFonts w:ascii="Arial" w:hAnsi="Arial" w:cs="Arial"/>
                <w:sz w:val="20"/>
                <w:szCs w:val="20"/>
              </w:rPr>
              <w:t xml:space="preserve"> (4) </w:t>
            </w:r>
          </w:p>
        </w:tc>
        <w:tc>
          <w:tcPr>
            <w:tcW w:w="1440" w:type="dxa"/>
          </w:tcPr>
          <w:p w:rsidR="00E273B3" w:rsidRPr="00E00ABD" w:rsidRDefault="00E273B3" w:rsidP="004C4D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C4D8F">
              <w:rPr>
                <w:rFonts w:ascii="Arial" w:hAnsi="Arial" w:cs="Arial"/>
                <w:sz w:val="20"/>
                <w:szCs w:val="20"/>
              </w:rPr>
              <w:t>HYSICS</w:t>
            </w:r>
            <w:r>
              <w:rPr>
                <w:rFonts w:ascii="Arial" w:hAnsi="Arial" w:cs="Arial"/>
                <w:sz w:val="20"/>
                <w:szCs w:val="20"/>
              </w:rPr>
              <w:t xml:space="preserve"> 205</w:t>
            </w:r>
          </w:p>
        </w:tc>
        <w:tc>
          <w:tcPr>
            <w:tcW w:w="1170" w:type="dxa"/>
          </w:tcPr>
          <w:p w:rsidR="00E273B3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E273B3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E273B3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E273B3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73B3" w:rsidRPr="00E00ABD" w:rsidTr="00461838">
        <w:trPr>
          <w:trHeight w:val="215"/>
        </w:trPr>
        <w:tc>
          <w:tcPr>
            <w:tcW w:w="4338" w:type="dxa"/>
          </w:tcPr>
          <w:p w:rsidR="00E273B3" w:rsidRPr="00E00ABD" w:rsidRDefault="00E273B3" w:rsidP="00370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Mathematical Computing Systems (1)</w:t>
            </w:r>
          </w:p>
        </w:tc>
        <w:tc>
          <w:tcPr>
            <w:tcW w:w="1440" w:type="dxa"/>
          </w:tcPr>
          <w:p w:rsidR="00E273B3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E273B3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E273B3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E273B3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E273B3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73B3" w:rsidRPr="00E00ABD" w:rsidTr="00461838">
        <w:trPr>
          <w:trHeight w:val="215"/>
        </w:trPr>
        <w:tc>
          <w:tcPr>
            <w:tcW w:w="4338" w:type="dxa"/>
          </w:tcPr>
          <w:p w:rsidR="00E273B3" w:rsidRPr="00E00ABD" w:rsidRDefault="004C4D8F" w:rsidP="002377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Programming (3)</w:t>
            </w:r>
          </w:p>
        </w:tc>
        <w:tc>
          <w:tcPr>
            <w:tcW w:w="1440" w:type="dxa"/>
          </w:tcPr>
          <w:p w:rsidR="00E273B3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E273B3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E273B3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E273B3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E273B3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73B3" w:rsidRPr="00E00ABD" w:rsidTr="00461838">
        <w:trPr>
          <w:trHeight w:val="215"/>
        </w:trPr>
        <w:tc>
          <w:tcPr>
            <w:tcW w:w="4338" w:type="dxa"/>
          </w:tcPr>
          <w:p w:rsidR="00E273B3" w:rsidRPr="00E00ABD" w:rsidRDefault="00E273B3" w:rsidP="00370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Proof (3)</w:t>
            </w:r>
          </w:p>
        </w:tc>
        <w:tc>
          <w:tcPr>
            <w:tcW w:w="1440" w:type="dxa"/>
          </w:tcPr>
          <w:p w:rsidR="00E273B3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E273B3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E273B3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E273B3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E273B3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73B3" w:rsidRPr="00E00ABD" w:rsidTr="00461838">
        <w:trPr>
          <w:trHeight w:val="215"/>
        </w:trPr>
        <w:tc>
          <w:tcPr>
            <w:tcW w:w="4338" w:type="dxa"/>
          </w:tcPr>
          <w:p w:rsidR="00E273B3" w:rsidRPr="00E00ABD" w:rsidRDefault="004C4D8F" w:rsidP="00370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Introduction to </w:t>
            </w:r>
            <w:r w:rsidR="00E273B3">
              <w:rPr>
                <w:rFonts w:ascii="Arial" w:hAnsi="Arial" w:cs="Arial"/>
                <w:sz w:val="20"/>
                <w:szCs w:val="20"/>
              </w:rPr>
              <w:t>Statistics (3)</w:t>
            </w:r>
          </w:p>
        </w:tc>
        <w:tc>
          <w:tcPr>
            <w:tcW w:w="1440" w:type="dxa"/>
          </w:tcPr>
          <w:p w:rsidR="00E273B3" w:rsidRPr="00E00ABD" w:rsidRDefault="004C4D8F" w:rsidP="00EA2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110</w:t>
            </w:r>
          </w:p>
        </w:tc>
        <w:tc>
          <w:tcPr>
            <w:tcW w:w="1170" w:type="dxa"/>
          </w:tcPr>
          <w:p w:rsidR="00E273B3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</w:tcPr>
          <w:p w:rsidR="00E273B3" w:rsidRPr="00E00ABD" w:rsidRDefault="008F22C9" w:rsidP="00F22F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E273B3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E273B3" w:rsidRPr="00E00ABD" w:rsidRDefault="008F22C9" w:rsidP="00F22F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73B3" w:rsidRPr="00E00ABD" w:rsidTr="00461838">
        <w:trPr>
          <w:trHeight w:val="332"/>
        </w:trPr>
        <w:tc>
          <w:tcPr>
            <w:tcW w:w="4338" w:type="dxa"/>
          </w:tcPr>
          <w:p w:rsidR="00E273B3" w:rsidRPr="00E00ABD" w:rsidRDefault="00E273B3" w:rsidP="009F27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Total Units for the Major:</w:t>
            </w:r>
          </w:p>
        </w:tc>
        <w:tc>
          <w:tcPr>
            <w:tcW w:w="1440" w:type="dxa"/>
          </w:tcPr>
          <w:p w:rsidR="00E273B3" w:rsidRPr="009F272F" w:rsidRDefault="00E273B3" w:rsidP="006556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72F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273B3" w:rsidRPr="00E00ABD" w:rsidRDefault="00E273B3" w:rsidP="004C45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73B3" w:rsidRPr="00E00ABD" w:rsidRDefault="00E273B3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Total Units for the Major:</w:t>
            </w:r>
          </w:p>
        </w:tc>
        <w:tc>
          <w:tcPr>
            <w:tcW w:w="900" w:type="dxa"/>
          </w:tcPr>
          <w:p w:rsidR="00E273B3" w:rsidRPr="00E00ABD" w:rsidRDefault="008F22C9" w:rsidP="00E00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20" w:type="dxa"/>
            <w:shd w:val="clear" w:color="auto" w:fill="D9D9D9"/>
          </w:tcPr>
          <w:p w:rsidR="00E273B3" w:rsidRPr="00E00ABD" w:rsidRDefault="00E273B3" w:rsidP="00E00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73B3" w:rsidRPr="00E00ABD" w:rsidTr="00461838">
        <w:trPr>
          <w:trHeight w:val="332"/>
        </w:trPr>
        <w:tc>
          <w:tcPr>
            <w:tcW w:w="4338" w:type="dxa"/>
            <w:shd w:val="clear" w:color="auto" w:fill="D9D9D9"/>
          </w:tcPr>
          <w:p w:rsidR="00E273B3" w:rsidRPr="00E00ABD" w:rsidRDefault="00E273B3" w:rsidP="009F27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E273B3" w:rsidRPr="009F272F" w:rsidRDefault="00E273B3" w:rsidP="00E82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E273B3" w:rsidRPr="00E00ABD" w:rsidRDefault="00E273B3" w:rsidP="006A79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Units that may be double-counted:</w:t>
            </w:r>
          </w:p>
        </w:tc>
        <w:tc>
          <w:tcPr>
            <w:tcW w:w="720" w:type="dxa"/>
          </w:tcPr>
          <w:p w:rsidR="00E273B3" w:rsidRPr="00E00ABD" w:rsidRDefault="008F22C9" w:rsidP="005702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273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273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605491" w:rsidRDefault="00605491" w:rsidP="0066308A">
      <w:pPr>
        <w:rPr>
          <w:rFonts w:ascii="Arial" w:hAnsi="Arial"/>
          <w:b/>
          <w:sz w:val="21"/>
          <w:szCs w:val="21"/>
        </w:rPr>
      </w:pPr>
    </w:p>
    <w:p w:rsidR="000A160B" w:rsidRPr="000A160B" w:rsidRDefault="00EF18B3" w:rsidP="000A160B">
      <w:pPr>
        <w:ind w:left="120" w:right="-360"/>
        <w:rPr>
          <w:i/>
          <w:sz w:val="20"/>
          <w:szCs w:val="20"/>
        </w:rPr>
      </w:pPr>
      <w:r>
        <w:rPr>
          <w:rFonts w:ascii="Arial" w:hAnsi="Arial"/>
          <w:b/>
          <w:sz w:val="21"/>
          <w:szCs w:val="21"/>
        </w:rPr>
        <w:t xml:space="preserve">Note: </w:t>
      </w:r>
      <w:r w:rsidR="000A160B">
        <w:rPr>
          <w:rFonts w:ascii="Arial" w:hAnsi="Arial"/>
          <w:b/>
          <w:sz w:val="21"/>
          <w:szCs w:val="21"/>
        </w:rPr>
        <w:t xml:space="preserve"> </w:t>
      </w:r>
      <w:r w:rsidR="000A160B" w:rsidRPr="000A160B">
        <w:rPr>
          <w:rFonts w:ascii="Arial" w:hAnsi="Arial" w:cs="Arial"/>
          <w:i/>
          <w:sz w:val="20"/>
          <w:szCs w:val="20"/>
        </w:rPr>
        <w:t>While 3 units are required from Group A, no units are required from Group B. The major must be a minimum of 18 semester units.</w:t>
      </w:r>
      <w:r w:rsidR="000A160B" w:rsidRPr="000A160B">
        <w:rPr>
          <w:i/>
          <w:sz w:val="20"/>
          <w:szCs w:val="20"/>
        </w:rPr>
        <w:t xml:space="preserve"> </w:t>
      </w:r>
    </w:p>
    <w:p w:rsidR="000A160B" w:rsidRPr="000A160B" w:rsidRDefault="000A160B" w:rsidP="000A160B">
      <w:pPr>
        <w:ind w:left="240"/>
        <w:rPr>
          <w:rFonts w:ascii="Arial" w:hAnsi="Arial"/>
          <w:b/>
          <w:sz w:val="20"/>
          <w:szCs w:val="20"/>
        </w:rPr>
      </w:pPr>
    </w:p>
    <w:p w:rsidR="00EF18B3" w:rsidRDefault="00EF18B3" w:rsidP="000A160B">
      <w:pPr>
        <w:ind w:left="240"/>
        <w:rPr>
          <w:rFonts w:ascii="Arial" w:hAnsi="Arial"/>
          <w:sz w:val="20"/>
          <w:szCs w:val="20"/>
        </w:rPr>
      </w:pPr>
      <w:r w:rsidRPr="000A160B">
        <w:rPr>
          <w:rFonts w:ascii="Arial" w:hAnsi="Arial"/>
          <w:sz w:val="20"/>
          <w:szCs w:val="20"/>
        </w:rPr>
        <w:t xml:space="preserve">When selecting 4-5 unit courses </w:t>
      </w:r>
      <w:proofErr w:type="gramStart"/>
      <w:r w:rsidRPr="000A160B">
        <w:rPr>
          <w:rFonts w:ascii="Arial" w:hAnsi="Arial"/>
          <w:sz w:val="20"/>
          <w:szCs w:val="20"/>
        </w:rPr>
        <w:t>for the A</w:t>
      </w:r>
      <w:r w:rsidR="005702B0" w:rsidRPr="000A160B">
        <w:rPr>
          <w:rFonts w:ascii="Arial" w:hAnsi="Arial"/>
          <w:sz w:val="20"/>
          <w:szCs w:val="20"/>
        </w:rPr>
        <w:t xml:space="preserve">ssociate in </w:t>
      </w:r>
      <w:r w:rsidRPr="000A160B">
        <w:rPr>
          <w:rFonts w:ascii="Arial" w:hAnsi="Arial"/>
          <w:sz w:val="20"/>
          <w:szCs w:val="20"/>
        </w:rPr>
        <w:t>S</w:t>
      </w:r>
      <w:r w:rsidR="005702B0" w:rsidRPr="000A160B">
        <w:rPr>
          <w:rFonts w:ascii="Arial" w:hAnsi="Arial"/>
          <w:sz w:val="20"/>
          <w:szCs w:val="20"/>
        </w:rPr>
        <w:t>cience</w:t>
      </w:r>
      <w:r w:rsidRPr="000A160B">
        <w:rPr>
          <w:rFonts w:ascii="Arial" w:hAnsi="Arial"/>
          <w:sz w:val="20"/>
          <w:szCs w:val="20"/>
        </w:rPr>
        <w:t xml:space="preserve"> in Mathematics for Transfer,</w:t>
      </w:r>
      <w:proofErr w:type="gramEnd"/>
      <w:r w:rsidRPr="000A160B">
        <w:rPr>
          <w:rFonts w:ascii="Arial" w:hAnsi="Arial"/>
          <w:sz w:val="20"/>
          <w:szCs w:val="20"/>
        </w:rPr>
        <w:t xml:space="preserve"> keep in mind that you may not require more than 60 units for the entire degree</w:t>
      </w:r>
      <w:r w:rsidR="000A160B">
        <w:rPr>
          <w:rFonts w:ascii="Arial" w:hAnsi="Arial"/>
          <w:sz w:val="20"/>
          <w:szCs w:val="20"/>
        </w:rPr>
        <w:t>.</w:t>
      </w:r>
      <w:r w:rsidRPr="000A160B">
        <w:rPr>
          <w:rFonts w:ascii="Arial" w:hAnsi="Arial"/>
          <w:sz w:val="20"/>
          <w:szCs w:val="20"/>
        </w:rPr>
        <w:t xml:space="preserve"> </w:t>
      </w:r>
    </w:p>
    <w:p w:rsidR="00461838" w:rsidRPr="000A160B" w:rsidRDefault="00461838" w:rsidP="00C21C88">
      <w:pPr>
        <w:rPr>
          <w:rFonts w:ascii="Arial" w:hAnsi="Arial"/>
          <w:sz w:val="20"/>
          <w:szCs w:val="20"/>
        </w:rPr>
      </w:pPr>
    </w:p>
    <w:sectPr w:rsidR="00461838" w:rsidRPr="000A160B" w:rsidSect="00E00ABD">
      <w:footnotePr>
        <w:numFmt w:val="lowerRoman"/>
      </w:foot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1F" w:rsidRDefault="00681C1F">
      <w:r>
        <w:separator/>
      </w:r>
    </w:p>
  </w:endnote>
  <w:endnote w:type="continuationSeparator" w:id="0">
    <w:p w:rsidR="00681C1F" w:rsidRDefault="0068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1F" w:rsidRDefault="00681C1F">
      <w:r>
        <w:separator/>
      </w:r>
    </w:p>
  </w:footnote>
  <w:footnote w:type="continuationSeparator" w:id="0">
    <w:p w:rsidR="00681C1F" w:rsidRDefault="0068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AC8"/>
    <w:multiLevelType w:val="hybridMultilevel"/>
    <w:tmpl w:val="B0A8D02C"/>
    <w:lvl w:ilvl="0" w:tplc="1598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BB3AE9"/>
    <w:multiLevelType w:val="multilevel"/>
    <w:tmpl w:val="864A2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93073"/>
    <w:multiLevelType w:val="hybridMultilevel"/>
    <w:tmpl w:val="7A489130"/>
    <w:lvl w:ilvl="0" w:tplc="B9C699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Yyt4pqylQud7mTj+2MQOn1ethQ=" w:salt="F73ENftT5gWWeNNbiZZtPA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BB"/>
    <w:rsid w:val="0000067F"/>
    <w:rsid w:val="0000632C"/>
    <w:rsid w:val="00014CD8"/>
    <w:rsid w:val="00014E25"/>
    <w:rsid w:val="00016145"/>
    <w:rsid w:val="000241F9"/>
    <w:rsid w:val="00030AE5"/>
    <w:rsid w:val="00046106"/>
    <w:rsid w:val="00050EED"/>
    <w:rsid w:val="00055377"/>
    <w:rsid w:val="0007536B"/>
    <w:rsid w:val="00087D31"/>
    <w:rsid w:val="000A15FC"/>
    <w:rsid w:val="000A160B"/>
    <w:rsid w:val="000A1DF1"/>
    <w:rsid w:val="000B2BE4"/>
    <w:rsid w:val="000B5DE3"/>
    <w:rsid w:val="00112A23"/>
    <w:rsid w:val="00124DFF"/>
    <w:rsid w:val="001428EE"/>
    <w:rsid w:val="00145812"/>
    <w:rsid w:val="00170186"/>
    <w:rsid w:val="00175FBB"/>
    <w:rsid w:val="002173D8"/>
    <w:rsid w:val="0021786E"/>
    <w:rsid w:val="00222FBE"/>
    <w:rsid w:val="002259F7"/>
    <w:rsid w:val="00235CE6"/>
    <w:rsid w:val="00237793"/>
    <w:rsid w:val="0025196B"/>
    <w:rsid w:val="00252776"/>
    <w:rsid w:val="002574E4"/>
    <w:rsid w:val="00271A07"/>
    <w:rsid w:val="002B2DE3"/>
    <w:rsid w:val="002C6D7E"/>
    <w:rsid w:val="002D31DA"/>
    <w:rsid w:val="002D692F"/>
    <w:rsid w:val="002F255B"/>
    <w:rsid w:val="00307632"/>
    <w:rsid w:val="0034162A"/>
    <w:rsid w:val="00347BB0"/>
    <w:rsid w:val="0037017A"/>
    <w:rsid w:val="00375A11"/>
    <w:rsid w:val="003B318F"/>
    <w:rsid w:val="00403B01"/>
    <w:rsid w:val="00413135"/>
    <w:rsid w:val="004306AF"/>
    <w:rsid w:val="0043630A"/>
    <w:rsid w:val="00440E38"/>
    <w:rsid w:val="00441081"/>
    <w:rsid w:val="00442177"/>
    <w:rsid w:val="00442A9C"/>
    <w:rsid w:val="00456110"/>
    <w:rsid w:val="0045621F"/>
    <w:rsid w:val="00461838"/>
    <w:rsid w:val="00461EED"/>
    <w:rsid w:val="00463194"/>
    <w:rsid w:val="00474FC4"/>
    <w:rsid w:val="00481DBD"/>
    <w:rsid w:val="004A260A"/>
    <w:rsid w:val="004C4549"/>
    <w:rsid w:val="004C4D8F"/>
    <w:rsid w:val="004E055C"/>
    <w:rsid w:val="004F666D"/>
    <w:rsid w:val="004F67EE"/>
    <w:rsid w:val="004F6EC7"/>
    <w:rsid w:val="00506C4F"/>
    <w:rsid w:val="00536635"/>
    <w:rsid w:val="00543F1E"/>
    <w:rsid w:val="005635A8"/>
    <w:rsid w:val="005702B0"/>
    <w:rsid w:val="0057635B"/>
    <w:rsid w:val="00596E96"/>
    <w:rsid w:val="005A1881"/>
    <w:rsid w:val="005A6991"/>
    <w:rsid w:val="005A704E"/>
    <w:rsid w:val="005C0071"/>
    <w:rsid w:val="005E11A9"/>
    <w:rsid w:val="00600063"/>
    <w:rsid w:val="00605491"/>
    <w:rsid w:val="0065544B"/>
    <w:rsid w:val="00655663"/>
    <w:rsid w:val="0066308A"/>
    <w:rsid w:val="00681C1F"/>
    <w:rsid w:val="006943E4"/>
    <w:rsid w:val="006A493B"/>
    <w:rsid w:val="006A79F2"/>
    <w:rsid w:val="006F1C43"/>
    <w:rsid w:val="00702BC4"/>
    <w:rsid w:val="00722A2F"/>
    <w:rsid w:val="007313C4"/>
    <w:rsid w:val="00750941"/>
    <w:rsid w:val="0079447A"/>
    <w:rsid w:val="007C2E93"/>
    <w:rsid w:val="007D0748"/>
    <w:rsid w:val="007D4CF0"/>
    <w:rsid w:val="007F62E0"/>
    <w:rsid w:val="00810422"/>
    <w:rsid w:val="008105F7"/>
    <w:rsid w:val="00880675"/>
    <w:rsid w:val="008851C2"/>
    <w:rsid w:val="00892C16"/>
    <w:rsid w:val="00895612"/>
    <w:rsid w:val="00897911"/>
    <w:rsid w:val="008A0E5E"/>
    <w:rsid w:val="008B3B7E"/>
    <w:rsid w:val="008C4D69"/>
    <w:rsid w:val="008F22C9"/>
    <w:rsid w:val="00900B55"/>
    <w:rsid w:val="009026AC"/>
    <w:rsid w:val="00915782"/>
    <w:rsid w:val="009308DD"/>
    <w:rsid w:val="00936468"/>
    <w:rsid w:val="00966D13"/>
    <w:rsid w:val="00972B20"/>
    <w:rsid w:val="00975E80"/>
    <w:rsid w:val="0098658F"/>
    <w:rsid w:val="00997ACC"/>
    <w:rsid w:val="009D7BA0"/>
    <w:rsid w:val="009E16ED"/>
    <w:rsid w:val="009F0389"/>
    <w:rsid w:val="009F088A"/>
    <w:rsid w:val="009F272F"/>
    <w:rsid w:val="00A01355"/>
    <w:rsid w:val="00A94C31"/>
    <w:rsid w:val="00AB2740"/>
    <w:rsid w:val="00AB355E"/>
    <w:rsid w:val="00AB39F9"/>
    <w:rsid w:val="00AD6562"/>
    <w:rsid w:val="00AE2645"/>
    <w:rsid w:val="00AE4066"/>
    <w:rsid w:val="00B54BD9"/>
    <w:rsid w:val="00B637BC"/>
    <w:rsid w:val="00B63A2A"/>
    <w:rsid w:val="00B730F3"/>
    <w:rsid w:val="00B76DF3"/>
    <w:rsid w:val="00B773B8"/>
    <w:rsid w:val="00B81C4E"/>
    <w:rsid w:val="00BA01C3"/>
    <w:rsid w:val="00BA7BD6"/>
    <w:rsid w:val="00BB160E"/>
    <w:rsid w:val="00BD6CEC"/>
    <w:rsid w:val="00BF2DBE"/>
    <w:rsid w:val="00C028F8"/>
    <w:rsid w:val="00C16006"/>
    <w:rsid w:val="00C21C88"/>
    <w:rsid w:val="00C31155"/>
    <w:rsid w:val="00C32071"/>
    <w:rsid w:val="00C360E2"/>
    <w:rsid w:val="00C4005B"/>
    <w:rsid w:val="00C4126B"/>
    <w:rsid w:val="00C52D10"/>
    <w:rsid w:val="00C53794"/>
    <w:rsid w:val="00C54078"/>
    <w:rsid w:val="00C66165"/>
    <w:rsid w:val="00C675D5"/>
    <w:rsid w:val="00CA5155"/>
    <w:rsid w:val="00CE0B9A"/>
    <w:rsid w:val="00CE6FF4"/>
    <w:rsid w:val="00CF1031"/>
    <w:rsid w:val="00D1487A"/>
    <w:rsid w:val="00D220C4"/>
    <w:rsid w:val="00D434D4"/>
    <w:rsid w:val="00D507E7"/>
    <w:rsid w:val="00D67B26"/>
    <w:rsid w:val="00D70877"/>
    <w:rsid w:val="00DA3E8A"/>
    <w:rsid w:val="00DA6DB7"/>
    <w:rsid w:val="00DB5B07"/>
    <w:rsid w:val="00DB6D67"/>
    <w:rsid w:val="00DC758B"/>
    <w:rsid w:val="00DD7BA4"/>
    <w:rsid w:val="00DF2835"/>
    <w:rsid w:val="00DF6844"/>
    <w:rsid w:val="00E005FA"/>
    <w:rsid w:val="00E00ABD"/>
    <w:rsid w:val="00E075A4"/>
    <w:rsid w:val="00E20C79"/>
    <w:rsid w:val="00E273B3"/>
    <w:rsid w:val="00E32253"/>
    <w:rsid w:val="00E3419E"/>
    <w:rsid w:val="00E50A12"/>
    <w:rsid w:val="00E54E9B"/>
    <w:rsid w:val="00E724DE"/>
    <w:rsid w:val="00E826BB"/>
    <w:rsid w:val="00EA21F7"/>
    <w:rsid w:val="00EA273C"/>
    <w:rsid w:val="00ED00EC"/>
    <w:rsid w:val="00EE63BF"/>
    <w:rsid w:val="00EF1131"/>
    <w:rsid w:val="00EF18B3"/>
    <w:rsid w:val="00EF6A3A"/>
    <w:rsid w:val="00F22FB4"/>
    <w:rsid w:val="00F472A0"/>
    <w:rsid w:val="00F52D67"/>
    <w:rsid w:val="00F55C13"/>
    <w:rsid w:val="00F66998"/>
    <w:rsid w:val="00F91587"/>
    <w:rsid w:val="00FB26AB"/>
    <w:rsid w:val="00FD13CA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8D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rsid w:val="00307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7632"/>
    <w:rPr>
      <w:rFonts w:eastAsia="Times New Roman"/>
    </w:rPr>
  </w:style>
  <w:style w:type="character" w:styleId="EndnoteReference">
    <w:name w:val="endnote reference"/>
    <w:basedOn w:val="DefaultParagraphFont"/>
    <w:rsid w:val="003076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8D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rsid w:val="00307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7632"/>
    <w:rPr>
      <w:rFonts w:eastAsia="Times New Roman"/>
    </w:rPr>
  </w:style>
  <w:style w:type="character" w:styleId="EndnoteReference">
    <w:name w:val="endnote reference"/>
    <w:basedOn w:val="DefaultParagraphFont"/>
    <w:rsid w:val="00307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-id.net/degreerevi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7BF6-4CC3-43CA-A218-710ED00B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4174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C-ID Discipline Input Groups (DIGs)</vt:lpstr>
    </vt:vector>
  </TitlesOfParts>
  <Company>Rio Hondo College</Company>
  <LinksUpToDate>false</LinksUpToDate>
  <CharactersWithSpaces>4737</CharactersWithSpaces>
  <SharedDoc>false</SharedDoc>
  <HLinks>
    <vt:vector size="6" baseType="variant">
      <vt:variant>
        <vt:i4>4521987</vt:i4>
      </vt:variant>
      <vt:variant>
        <vt:i4>0</vt:i4>
      </vt:variant>
      <vt:variant>
        <vt:i4>0</vt:i4>
      </vt:variant>
      <vt:variant>
        <vt:i4>5</vt:i4>
      </vt:variant>
      <vt:variant>
        <vt:lpwstr>http://www.c-id.net/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C-ID Discipline Input Groups (DIGs)</dc:title>
  <dc:creator>Michelle Corselli</dc:creator>
  <cp:lastModifiedBy>Legner, Mary Margarita</cp:lastModifiedBy>
  <cp:revision>2</cp:revision>
  <cp:lastPrinted>2013-02-19T23:57:00Z</cp:lastPrinted>
  <dcterms:created xsi:type="dcterms:W3CDTF">2013-02-19T23:58:00Z</dcterms:created>
  <dcterms:modified xsi:type="dcterms:W3CDTF">2013-02-19T23:58:00Z</dcterms:modified>
</cp:coreProperties>
</file>