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549E" w14:textId="7C698DFF" w:rsidR="00C47096" w:rsidRDefault="00816CE2" w:rsidP="00816CE2">
      <w:pPr>
        <w:rPr>
          <w:sz w:val="24"/>
        </w:rPr>
      </w:pPr>
      <w:bookmarkStart w:id="0" w:name="_GoBack"/>
      <w:bookmarkEnd w:id="0"/>
      <w:r w:rsidRPr="006D0F4F">
        <w:rPr>
          <w:sz w:val="24"/>
        </w:rPr>
        <w:t xml:space="preserve">This document is a collection of various </w:t>
      </w:r>
      <w:r>
        <w:rPr>
          <w:sz w:val="24"/>
        </w:rPr>
        <w:t>considerations</w:t>
      </w:r>
      <w:r w:rsidRPr="006D0F4F">
        <w:rPr>
          <w:sz w:val="24"/>
        </w:rPr>
        <w:t xml:space="preserve"> colleges have used to guide their construction of meta-majors. No college has used all of these, but rather a combination that suited their ability to move forward consistent with their college mission</w:t>
      </w:r>
      <w:r>
        <w:rPr>
          <w:sz w:val="24"/>
        </w:rPr>
        <w:t>,</w:t>
      </w:r>
      <w:r w:rsidRPr="006D0F4F">
        <w:rPr>
          <w:sz w:val="24"/>
        </w:rPr>
        <w:t xml:space="preserve"> vision</w:t>
      </w:r>
      <w:r>
        <w:rPr>
          <w:sz w:val="24"/>
        </w:rPr>
        <w:t>,</w:t>
      </w:r>
      <w:r w:rsidRPr="006D0F4F">
        <w:rPr>
          <w:sz w:val="24"/>
        </w:rPr>
        <w:t xml:space="preserve"> and values, while providing assurances of iterative review and data analysis </w:t>
      </w:r>
      <w:r>
        <w:rPr>
          <w:sz w:val="24"/>
        </w:rPr>
        <w:t>in implementing a guided pathways t</w:t>
      </w:r>
      <w:r w:rsidRPr="006D0F4F">
        <w:rPr>
          <w:sz w:val="24"/>
        </w:rPr>
        <w:t>ransformation.</w:t>
      </w:r>
      <w:r w:rsidRPr="00C47096">
        <w:rPr>
          <w:sz w:val="24"/>
        </w:rPr>
        <w:t xml:space="preserve"> </w:t>
      </w:r>
      <w:r>
        <w:rPr>
          <w:sz w:val="24"/>
        </w:rPr>
        <w:t xml:space="preserve">Initial steps in implementation often consist of research into other colleges’ construction of meta-majors, including the number, type and purpose. Then, it is helpful to determine what you hope meta-majors will do for your college and your students. Consider and respond to the following questions to create guidelines for the process of defining meta-majors at your college. </w:t>
      </w:r>
    </w:p>
    <w:tbl>
      <w:tblPr>
        <w:tblStyle w:val="TableGrid"/>
        <w:tblpPr w:leftFromText="180" w:rightFromText="180" w:vertAnchor="text" w:tblpY="1"/>
        <w:tblOverlap w:val="never"/>
        <w:tblW w:w="13248" w:type="dxa"/>
        <w:tblLayout w:type="fixed"/>
        <w:tblLook w:val="04A0" w:firstRow="1" w:lastRow="0" w:firstColumn="1" w:lastColumn="0" w:noHBand="0" w:noVBand="1"/>
      </w:tblPr>
      <w:tblGrid>
        <w:gridCol w:w="738"/>
        <w:gridCol w:w="3780"/>
        <w:gridCol w:w="4950"/>
        <w:gridCol w:w="3780"/>
      </w:tblGrid>
      <w:tr w:rsidR="00DE680A" w14:paraId="536C9D05" w14:textId="21A95E7C" w:rsidTr="00CB5911">
        <w:trPr>
          <w:cantSplit/>
          <w:tblHeader/>
        </w:trPr>
        <w:tc>
          <w:tcPr>
            <w:tcW w:w="738" w:type="dxa"/>
            <w:shd w:val="clear" w:color="auto" w:fill="FFFFFF" w:themeFill="background1"/>
          </w:tcPr>
          <w:p w14:paraId="22597069" w14:textId="0AC471B2" w:rsidR="00C800EA" w:rsidRDefault="005A256F" w:rsidP="007C7E54">
            <w:pPr>
              <w:rPr>
                <w:b/>
                <w:sz w:val="28"/>
              </w:rPr>
            </w:pPr>
            <w:r>
              <w:rPr>
                <w:b/>
                <w:noProof/>
                <w:sz w:val="28"/>
              </w:rPr>
              <w:drawing>
                <wp:inline distT="0" distB="0" distL="0" distR="0" wp14:anchorId="02FC41CB" wp14:editId="562188D0">
                  <wp:extent cx="392530" cy="257175"/>
                  <wp:effectExtent l="0" t="0" r="7620" b="0"/>
                  <wp:docPr id="7" name="Picture 7" descr="C:\Users\Janet\AppData\Local\Microsoft\Windows\INetCache\IE\WTVA0MA0\finis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t\AppData\Local\Microsoft\Windows\INetCache\IE\WTVA0MA0\finish[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530" cy="257175"/>
                          </a:xfrm>
                          <a:prstGeom prst="rect">
                            <a:avLst/>
                          </a:prstGeom>
                          <a:noFill/>
                          <a:ln>
                            <a:noFill/>
                          </a:ln>
                        </pic:spPr>
                      </pic:pic>
                    </a:graphicData>
                  </a:graphic>
                </wp:inline>
              </w:drawing>
            </w:r>
          </w:p>
        </w:tc>
        <w:tc>
          <w:tcPr>
            <w:tcW w:w="3780" w:type="dxa"/>
            <w:shd w:val="clear" w:color="auto" w:fill="E7E6E6" w:themeFill="background2"/>
          </w:tcPr>
          <w:p w14:paraId="12CA2D55" w14:textId="79C01F89" w:rsidR="00C800EA" w:rsidRPr="00B3180B" w:rsidRDefault="00B3180B" w:rsidP="00B3180B">
            <w:pPr>
              <w:rPr>
                <w:b/>
                <w:sz w:val="24"/>
              </w:rPr>
            </w:pPr>
            <w:r>
              <w:rPr>
                <w:b/>
                <w:sz w:val="24"/>
              </w:rPr>
              <w:t xml:space="preserve">Questions/ Considerations for </w:t>
            </w:r>
            <w:r w:rsidR="00C800EA" w:rsidRPr="00B3180B">
              <w:rPr>
                <w:b/>
                <w:sz w:val="24"/>
              </w:rPr>
              <w:t xml:space="preserve">developing </w:t>
            </w:r>
            <w:r>
              <w:rPr>
                <w:b/>
                <w:sz w:val="24"/>
              </w:rPr>
              <w:t>Meta-major Guidelines</w:t>
            </w:r>
          </w:p>
        </w:tc>
        <w:tc>
          <w:tcPr>
            <w:tcW w:w="4950" w:type="dxa"/>
            <w:shd w:val="clear" w:color="auto" w:fill="E7E6E6" w:themeFill="background2"/>
          </w:tcPr>
          <w:p w14:paraId="7139D9FC" w14:textId="4E23DE61" w:rsidR="00C800EA" w:rsidRPr="00B3180B" w:rsidRDefault="00C800EA" w:rsidP="007C7E54">
            <w:pPr>
              <w:rPr>
                <w:b/>
                <w:sz w:val="24"/>
              </w:rPr>
            </w:pPr>
            <w:r w:rsidRPr="00B3180B">
              <w:rPr>
                <w:b/>
                <w:sz w:val="24"/>
              </w:rPr>
              <w:t>Examples of how this may affect implementation &amp; decision making</w:t>
            </w:r>
          </w:p>
        </w:tc>
        <w:tc>
          <w:tcPr>
            <w:tcW w:w="3780" w:type="dxa"/>
            <w:shd w:val="clear" w:color="auto" w:fill="E7E6E6" w:themeFill="background2"/>
          </w:tcPr>
          <w:p w14:paraId="57867128" w14:textId="77777777" w:rsidR="00C800EA" w:rsidRDefault="00C800EA" w:rsidP="007C7E54">
            <w:pPr>
              <w:rPr>
                <w:b/>
                <w:sz w:val="24"/>
              </w:rPr>
            </w:pPr>
            <w:r>
              <w:rPr>
                <w:b/>
                <w:sz w:val="24"/>
              </w:rPr>
              <w:t xml:space="preserve">1. </w:t>
            </w:r>
            <w:r w:rsidRPr="007C7E54">
              <w:rPr>
                <w:b/>
                <w:sz w:val="24"/>
              </w:rPr>
              <w:t xml:space="preserve">Is this question relevant for your college? </w:t>
            </w:r>
          </w:p>
          <w:p w14:paraId="61453295" w14:textId="77777777" w:rsidR="00C800EA" w:rsidRDefault="00C800EA" w:rsidP="007C7E54">
            <w:pPr>
              <w:rPr>
                <w:b/>
                <w:sz w:val="24"/>
              </w:rPr>
            </w:pPr>
            <w:r>
              <w:rPr>
                <w:b/>
                <w:sz w:val="24"/>
              </w:rPr>
              <w:t xml:space="preserve">2. </w:t>
            </w:r>
            <w:r w:rsidRPr="007C7E54">
              <w:rPr>
                <w:b/>
                <w:sz w:val="24"/>
              </w:rPr>
              <w:t xml:space="preserve">Who should attend these discussions? </w:t>
            </w:r>
          </w:p>
          <w:p w14:paraId="799A762A" w14:textId="36B2763D" w:rsidR="00C800EA" w:rsidRDefault="00C800EA" w:rsidP="007C7E54">
            <w:pPr>
              <w:rPr>
                <w:b/>
                <w:sz w:val="28"/>
              </w:rPr>
            </w:pPr>
            <w:r>
              <w:rPr>
                <w:b/>
                <w:sz w:val="24"/>
              </w:rPr>
              <w:t xml:space="preserve">3. </w:t>
            </w:r>
            <w:r w:rsidRPr="007C7E54">
              <w:rPr>
                <w:b/>
                <w:sz w:val="24"/>
              </w:rPr>
              <w:t>Who makes the final decision?</w:t>
            </w:r>
          </w:p>
        </w:tc>
      </w:tr>
      <w:tr w:rsidR="005A256F" w14:paraId="70E012E8" w14:textId="35B40F29" w:rsidTr="00CB5911">
        <w:tc>
          <w:tcPr>
            <w:tcW w:w="738" w:type="dxa"/>
            <w:vMerge w:val="restart"/>
            <w:textDirection w:val="btLr"/>
          </w:tcPr>
          <w:p w14:paraId="40CFBAE9" w14:textId="773D45D1" w:rsidR="00B3180B" w:rsidRPr="00B3180B" w:rsidRDefault="00B3180B" w:rsidP="005A256F">
            <w:pPr>
              <w:spacing w:before="120" w:after="120"/>
              <w:ind w:left="144" w:right="144"/>
              <w:jc w:val="center"/>
              <w:rPr>
                <w:b/>
                <w:sz w:val="24"/>
              </w:rPr>
            </w:pPr>
            <w:r w:rsidRPr="00B3180B">
              <w:rPr>
                <w:b/>
                <w:sz w:val="28"/>
              </w:rPr>
              <w:t>Beginning with the end in mind</w:t>
            </w:r>
          </w:p>
        </w:tc>
        <w:tc>
          <w:tcPr>
            <w:tcW w:w="3780" w:type="dxa"/>
          </w:tcPr>
          <w:p w14:paraId="08D0A80E" w14:textId="7879590F" w:rsidR="00B3180B" w:rsidRPr="005E0CA2" w:rsidRDefault="00B3180B" w:rsidP="00002EBB">
            <w:pPr>
              <w:numPr>
                <w:ilvl w:val="0"/>
                <w:numId w:val="1"/>
              </w:numPr>
              <w:tabs>
                <w:tab w:val="clear" w:pos="720"/>
                <w:tab w:val="num" w:pos="450"/>
              </w:tabs>
              <w:ind w:left="360" w:hanging="270"/>
              <w:rPr>
                <w:sz w:val="24"/>
              </w:rPr>
            </w:pPr>
            <w:r w:rsidRPr="005E0CA2">
              <w:rPr>
                <w:sz w:val="24"/>
              </w:rPr>
              <w:t>How will the organizers begin with the end in mind, focus on career goals</w:t>
            </w:r>
            <w:r w:rsidR="00816CE2">
              <w:rPr>
                <w:sz w:val="24"/>
              </w:rPr>
              <w:t>,</w:t>
            </w:r>
            <w:r w:rsidRPr="005E0CA2">
              <w:rPr>
                <w:sz w:val="24"/>
              </w:rPr>
              <w:t xml:space="preserve"> and group majors based on the end result?</w:t>
            </w:r>
          </w:p>
        </w:tc>
        <w:tc>
          <w:tcPr>
            <w:tcW w:w="4950" w:type="dxa"/>
          </w:tcPr>
          <w:p w14:paraId="47CBCF64" w14:textId="0690AC5E" w:rsidR="00B3180B" w:rsidRPr="001B0C63" w:rsidRDefault="00B3180B" w:rsidP="00C800EA">
            <w:pPr>
              <w:rPr>
                <w:sz w:val="24"/>
              </w:rPr>
            </w:pPr>
            <w:r>
              <w:rPr>
                <w:sz w:val="24"/>
              </w:rPr>
              <w:t xml:space="preserve">Transfer may be the end of a pathway, but for many students, employment is the target. Will transfer requirements and post-baccalaureate employment influence meta-major groupings? </w:t>
            </w:r>
          </w:p>
        </w:tc>
        <w:tc>
          <w:tcPr>
            <w:tcW w:w="3780" w:type="dxa"/>
          </w:tcPr>
          <w:p w14:paraId="57B672EE" w14:textId="77777777" w:rsidR="00B3180B" w:rsidRDefault="00B3180B" w:rsidP="00F919C9">
            <w:pPr>
              <w:rPr>
                <w:sz w:val="24"/>
              </w:rPr>
            </w:pPr>
          </w:p>
        </w:tc>
      </w:tr>
      <w:tr w:rsidR="005A256F" w14:paraId="50E8BBCD" w14:textId="0D6408E7" w:rsidTr="00CB5911">
        <w:tc>
          <w:tcPr>
            <w:tcW w:w="738" w:type="dxa"/>
            <w:vMerge/>
          </w:tcPr>
          <w:p w14:paraId="18FF5915" w14:textId="092C8A8E" w:rsidR="00B3180B" w:rsidRPr="005E0CA2" w:rsidRDefault="00B3180B" w:rsidP="00C800EA">
            <w:pPr>
              <w:ind w:left="360"/>
              <w:rPr>
                <w:bCs/>
                <w:sz w:val="24"/>
              </w:rPr>
            </w:pPr>
          </w:p>
        </w:tc>
        <w:tc>
          <w:tcPr>
            <w:tcW w:w="3780" w:type="dxa"/>
          </w:tcPr>
          <w:p w14:paraId="5F42377B" w14:textId="7C425D39" w:rsidR="00B3180B" w:rsidRPr="005E0CA2" w:rsidRDefault="00B3180B" w:rsidP="00002EBB">
            <w:pPr>
              <w:numPr>
                <w:ilvl w:val="0"/>
                <w:numId w:val="1"/>
              </w:numPr>
              <w:tabs>
                <w:tab w:val="clear" w:pos="720"/>
                <w:tab w:val="num" w:pos="450"/>
              </w:tabs>
              <w:ind w:left="360" w:hanging="270"/>
              <w:rPr>
                <w:sz w:val="24"/>
              </w:rPr>
            </w:pPr>
            <w:r w:rsidRPr="005E0CA2">
              <w:rPr>
                <w:bCs/>
                <w:sz w:val="24"/>
              </w:rPr>
              <w:t>How will student voice be integrated into the planning?</w:t>
            </w:r>
          </w:p>
        </w:tc>
        <w:tc>
          <w:tcPr>
            <w:tcW w:w="4950" w:type="dxa"/>
          </w:tcPr>
          <w:p w14:paraId="0A57446D" w14:textId="77777777" w:rsidR="00B3180B" w:rsidRPr="001B0C63" w:rsidRDefault="00B3180B" w:rsidP="00F919C9">
            <w:pPr>
              <w:rPr>
                <w:sz w:val="24"/>
              </w:rPr>
            </w:pPr>
            <w:r>
              <w:rPr>
                <w:sz w:val="24"/>
              </w:rPr>
              <w:t>The current structure of departments and divisions is unclear to students. Meta-majors must be clearly designed and described so students and institutions can unambiguously describe the pathways and groupings.</w:t>
            </w:r>
          </w:p>
        </w:tc>
        <w:tc>
          <w:tcPr>
            <w:tcW w:w="3780" w:type="dxa"/>
          </w:tcPr>
          <w:p w14:paraId="51B643BC" w14:textId="77777777" w:rsidR="00B3180B" w:rsidRDefault="00B3180B" w:rsidP="00F919C9">
            <w:pPr>
              <w:rPr>
                <w:sz w:val="24"/>
              </w:rPr>
            </w:pPr>
          </w:p>
        </w:tc>
      </w:tr>
      <w:tr w:rsidR="005A256F" w14:paraId="45136D11" w14:textId="77777777" w:rsidTr="00CB5911">
        <w:tc>
          <w:tcPr>
            <w:tcW w:w="738" w:type="dxa"/>
            <w:vMerge/>
          </w:tcPr>
          <w:p w14:paraId="055AE6B1" w14:textId="2B0017F3" w:rsidR="00B3180B" w:rsidRPr="00354B2F" w:rsidRDefault="00B3180B" w:rsidP="00C800EA">
            <w:pPr>
              <w:ind w:left="360"/>
              <w:rPr>
                <w:bCs/>
                <w:sz w:val="24"/>
              </w:rPr>
            </w:pPr>
          </w:p>
        </w:tc>
        <w:tc>
          <w:tcPr>
            <w:tcW w:w="3780" w:type="dxa"/>
          </w:tcPr>
          <w:p w14:paraId="0B50B6FF" w14:textId="5F914DA2" w:rsidR="00B3180B" w:rsidRPr="00354B2F" w:rsidRDefault="00B3180B" w:rsidP="00B3180B">
            <w:pPr>
              <w:numPr>
                <w:ilvl w:val="0"/>
                <w:numId w:val="1"/>
              </w:numPr>
              <w:tabs>
                <w:tab w:val="clear" w:pos="720"/>
                <w:tab w:val="num" w:pos="450"/>
              </w:tabs>
              <w:ind w:left="360" w:hanging="270"/>
              <w:rPr>
                <w:sz w:val="24"/>
              </w:rPr>
            </w:pPr>
            <w:r w:rsidRPr="00354B2F">
              <w:rPr>
                <w:bCs/>
                <w:sz w:val="24"/>
              </w:rPr>
              <w:t>Will meta-major organization include minimizing time to completion?</w:t>
            </w:r>
          </w:p>
        </w:tc>
        <w:tc>
          <w:tcPr>
            <w:tcW w:w="4950" w:type="dxa"/>
          </w:tcPr>
          <w:p w14:paraId="32890BEF" w14:textId="718C7A37" w:rsidR="00B3180B" w:rsidRPr="001B0C63" w:rsidRDefault="00B3180B" w:rsidP="00B3180B">
            <w:pPr>
              <w:rPr>
                <w:sz w:val="24"/>
              </w:rPr>
            </w:pPr>
            <w:r>
              <w:rPr>
                <w:sz w:val="24"/>
              </w:rPr>
              <w:t>Guided pathways should reduce time to completion but this intersects with many areas e.g. scheduling &amp; programs</w:t>
            </w:r>
          </w:p>
        </w:tc>
        <w:tc>
          <w:tcPr>
            <w:tcW w:w="3780" w:type="dxa"/>
          </w:tcPr>
          <w:p w14:paraId="4E9BAB9C" w14:textId="77777777" w:rsidR="00B3180B" w:rsidRDefault="00B3180B" w:rsidP="00816CE2">
            <w:pPr>
              <w:rPr>
                <w:sz w:val="24"/>
              </w:rPr>
            </w:pPr>
          </w:p>
        </w:tc>
      </w:tr>
      <w:tr w:rsidR="00DD303C" w14:paraId="03AB0EDB" w14:textId="77777777" w:rsidTr="00CB5911">
        <w:tc>
          <w:tcPr>
            <w:tcW w:w="738" w:type="dxa"/>
            <w:vMerge/>
          </w:tcPr>
          <w:p w14:paraId="308037D8" w14:textId="77777777" w:rsidR="00DD303C" w:rsidRPr="00354B2F" w:rsidRDefault="00DD303C" w:rsidP="00DD303C">
            <w:pPr>
              <w:ind w:left="360"/>
              <w:rPr>
                <w:bCs/>
                <w:sz w:val="24"/>
              </w:rPr>
            </w:pPr>
          </w:p>
        </w:tc>
        <w:tc>
          <w:tcPr>
            <w:tcW w:w="3780" w:type="dxa"/>
          </w:tcPr>
          <w:p w14:paraId="41EB2B71" w14:textId="7757BDD1" w:rsidR="00DD303C" w:rsidRPr="00354B2F" w:rsidRDefault="00DD303C" w:rsidP="00DD303C">
            <w:pPr>
              <w:numPr>
                <w:ilvl w:val="0"/>
                <w:numId w:val="1"/>
              </w:numPr>
              <w:tabs>
                <w:tab w:val="clear" w:pos="720"/>
                <w:tab w:val="num" w:pos="450"/>
              </w:tabs>
              <w:ind w:left="360" w:hanging="270"/>
              <w:rPr>
                <w:bCs/>
                <w:sz w:val="24"/>
              </w:rPr>
            </w:pPr>
            <w:r w:rsidRPr="005E0CA2">
              <w:rPr>
                <w:sz w:val="24"/>
              </w:rPr>
              <w:t xml:space="preserve">Will meta-majors </w:t>
            </w:r>
            <w:r>
              <w:rPr>
                <w:sz w:val="24"/>
              </w:rPr>
              <w:t>provide</w:t>
            </w:r>
            <w:r w:rsidRPr="005E0CA2">
              <w:rPr>
                <w:sz w:val="24"/>
              </w:rPr>
              <w:t xml:space="preserve"> opportunity for exploration?</w:t>
            </w:r>
          </w:p>
        </w:tc>
        <w:tc>
          <w:tcPr>
            <w:tcW w:w="4950" w:type="dxa"/>
          </w:tcPr>
          <w:p w14:paraId="75EE5CF3" w14:textId="7C19F342" w:rsidR="00DD303C" w:rsidRDefault="00DD303C" w:rsidP="00DD303C">
            <w:pPr>
              <w:rPr>
                <w:sz w:val="24"/>
              </w:rPr>
            </w:pPr>
            <w:r>
              <w:rPr>
                <w:sz w:val="24"/>
              </w:rPr>
              <w:t>What will happen to students who do not have a major or goal yet?</w:t>
            </w:r>
          </w:p>
        </w:tc>
        <w:tc>
          <w:tcPr>
            <w:tcW w:w="3780" w:type="dxa"/>
          </w:tcPr>
          <w:p w14:paraId="5470BA61" w14:textId="77777777" w:rsidR="00DD303C" w:rsidRDefault="00DD303C" w:rsidP="00DD303C">
            <w:pPr>
              <w:rPr>
                <w:sz w:val="24"/>
              </w:rPr>
            </w:pPr>
          </w:p>
        </w:tc>
      </w:tr>
      <w:tr w:rsidR="00DD303C" w14:paraId="704E3DDC" w14:textId="77777777" w:rsidTr="00CB5911">
        <w:tc>
          <w:tcPr>
            <w:tcW w:w="738" w:type="dxa"/>
            <w:vMerge/>
          </w:tcPr>
          <w:p w14:paraId="154C0683" w14:textId="7445328B" w:rsidR="00DD303C" w:rsidRPr="00354B2F" w:rsidRDefault="00DD303C" w:rsidP="00DD303C">
            <w:pPr>
              <w:ind w:left="360"/>
              <w:rPr>
                <w:bCs/>
                <w:sz w:val="24"/>
              </w:rPr>
            </w:pPr>
          </w:p>
        </w:tc>
        <w:tc>
          <w:tcPr>
            <w:tcW w:w="3780" w:type="dxa"/>
          </w:tcPr>
          <w:p w14:paraId="20A28132" w14:textId="55CB6EEB" w:rsidR="00DD303C" w:rsidRPr="00354B2F" w:rsidRDefault="00DD303C" w:rsidP="00DD303C">
            <w:pPr>
              <w:numPr>
                <w:ilvl w:val="0"/>
                <w:numId w:val="1"/>
              </w:numPr>
              <w:tabs>
                <w:tab w:val="clear" w:pos="720"/>
                <w:tab w:val="num" w:pos="450"/>
              </w:tabs>
              <w:ind w:left="360" w:hanging="270"/>
              <w:rPr>
                <w:sz w:val="24"/>
              </w:rPr>
            </w:pPr>
            <w:r w:rsidRPr="00354B2F">
              <w:rPr>
                <w:bCs/>
                <w:sz w:val="24"/>
              </w:rPr>
              <w:t>Will meta-major organization maximiz</w:t>
            </w:r>
            <w:r>
              <w:rPr>
                <w:bCs/>
                <w:sz w:val="24"/>
              </w:rPr>
              <w:t>e</w:t>
            </w:r>
            <w:r w:rsidRPr="00354B2F">
              <w:rPr>
                <w:bCs/>
                <w:sz w:val="24"/>
              </w:rPr>
              <w:t xml:space="preserve"> transfer and employment connections?</w:t>
            </w:r>
            <w:r w:rsidR="00816CE2">
              <w:rPr>
                <w:bCs/>
                <w:sz w:val="24"/>
              </w:rPr>
              <w:t xml:space="preserve"> If so, h</w:t>
            </w:r>
            <w:r>
              <w:rPr>
                <w:bCs/>
                <w:sz w:val="24"/>
              </w:rPr>
              <w:t>ow</w:t>
            </w:r>
            <w:r w:rsidR="00816CE2">
              <w:rPr>
                <w:bCs/>
                <w:sz w:val="24"/>
              </w:rPr>
              <w:t>?</w:t>
            </w:r>
          </w:p>
        </w:tc>
        <w:tc>
          <w:tcPr>
            <w:tcW w:w="4950" w:type="dxa"/>
          </w:tcPr>
          <w:p w14:paraId="15431815" w14:textId="31B4F177" w:rsidR="00DD303C" w:rsidRPr="001B0C63" w:rsidRDefault="00DD303C" w:rsidP="00DD303C">
            <w:pPr>
              <w:rPr>
                <w:sz w:val="24"/>
              </w:rPr>
            </w:pPr>
            <w:r>
              <w:rPr>
                <w:sz w:val="24"/>
              </w:rPr>
              <w:t>How will increasing completion and employment influence re-organization? Will technical courses provide short- term employment and transfer options?</w:t>
            </w:r>
          </w:p>
        </w:tc>
        <w:tc>
          <w:tcPr>
            <w:tcW w:w="3780" w:type="dxa"/>
          </w:tcPr>
          <w:p w14:paraId="49FFAAF4" w14:textId="77777777" w:rsidR="00DD303C" w:rsidRDefault="00DD303C" w:rsidP="00DD303C">
            <w:pPr>
              <w:rPr>
                <w:sz w:val="24"/>
              </w:rPr>
            </w:pPr>
          </w:p>
        </w:tc>
      </w:tr>
      <w:tr w:rsidR="00DD303C" w14:paraId="2EB29980" w14:textId="77777777" w:rsidTr="00CB5911">
        <w:tc>
          <w:tcPr>
            <w:tcW w:w="738" w:type="dxa"/>
          </w:tcPr>
          <w:p w14:paraId="3F40B4F7" w14:textId="216BCA10" w:rsidR="00DD303C" w:rsidRPr="00354B2F" w:rsidRDefault="00DD303C" w:rsidP="00DD303C">
            <w:pPr>
              <w:rPr>
                <w:bCs/>
                <w:sz w:val="24"/>
              </w:rPr>
            </w:pPr>
            <w:r>
              <w:rPr>
                <w:b/>
                <w:noProof/>
                <w:sz w:val="28"/>
              </w:rPr>
              <w:lastRenderedPageBreak/>
              <w:drawing>
                <wp:inline distT="0" distB="0" distL="0" distR="0" wp14:anchorId="5C96EC03" wp14:editId="0F96A605">
                  <wp:extent cx="276225" cy="390525"/>
                  <wp:effectExtent l="0" t="0" r="9525" b="9525"/>
                  <wp:docPr id="6" name="Picture 6" descr="C:\Users\Janet\AppData\Local\Microsoft\Windows\INetCache\IE\PF8HBOS8\15170-illustration-of-a-magnifying-glas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ppData\Local\Microsoft\Windows\INetCache\IE\PF8HBOS8\15170-illustration-of-a-magnifying-glass-pv[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3780" w:type="dxa"/>
            <w:shd w:val="clear" w:color="auto" w:fill="D0CECE" w:themeFill="background2" w:themeFillShade="E6"/>
          </w:tcPr>
          <w:p w14:paraId="306B464B" w14:textId="4C7AF861" w:rsidR="00DD303C" w:rsidRPr="00354B2F" w:rsidRDefault="00DD303C" w:rsidP="00DD303C">
            <w:pPr>
              <w:rPr>
                <w:bCs/>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D0CECE" w:themeFill="background2" w:themeFillShade="E6"/>
          </w:tcPr>
          <w:p w14:paraId="1E747308" w14:textId="24978412" w:rsidR="00DD303C" w:rsidRDefault="00DD303C" w:rsidP="00DD303C">
            <w:pPr>
              <w:rPr>
                <w:sz w:val="24"/>
              </w:rPr>
            </w:pPr>
            <w:r w:rsidRPr="00B3180B">
              <w:rPr>
                <w:b/>
                <w:sz w:val="24"/>
              </w:rPr>
              <w:t>Examples of how this may affect implementation &amp; decision making</w:t>
            </w:r>
          </w:p>
        </w:tc>
        <w:tc>
          <w:tcPr>
            <w:tcW w:w="3780" w:type="dxa"/>
            <w:shd w:val="clear" w:color="auto" w:fill="D0CECE" w:themeFill="background2" w:themeFillShade="E6"/>
          </w:tcPr>
          <w:p w14:paraId="63B2706B"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4F8F9675" w14:textId="77777777" w:rsidR="00DD303C" w:rsidRDefault="00DD303C" w:rsidP="00DD303C">
            <w:pPr>
              <w:rPr>
                <w:b/>
                <w:sz w:val="24"/>
              </w:rPr>
            </w:pPr>
            <w:r>
              <w:rPr>
                <w:b/>
                <w:sz w:val="24"/>
              </w:rPr>
              <w:t xml:space="preserve">2. </w:t>
            </w:r>
            <w:r w:rsidRPr="007C7E54">
              <w:rPr>
                <w:b/>
                <w:sz w:val="24"/>
              </w:rPr>
              <w:t xml:space="preserve">Who should attend these discussions? </w:t>
            </w:r>
          </w:p>
          <w:p w14:paraId="746DADD4" w14:textId="528BDB52" w:rsidR="00DD303C" w:rsidRDefault="00DD303C" w:rsidP="00DD303C">
            <w:pPr>
              <w:rPr>
                <w:sz w:val="24"/>
              </w:rPr>
            </w:pPr>
            <w:r>
              <w:rPr>
                <w:b/>
                <w:sz w:val="24"/>
              </w:rPr>
              <w:t xml:space="preserve">3. </w:t>
            </w:r>
            <w:r w:rsidRPr="007C7E54">
              <w:rPr>
                <w:b/>
                <w:sz w:val="24"/>
              </w:rPr>
              <w:t>Who makes the final decision?</w:t>
            </w:r>
          </w:p>
        </w:tc>
      </w:tr>
      <w:tr w:rsidR="00DD303C" w14:paraId="5844B993" w14:textId="77777777" w:rsidTr="00CB5911">
        <w:tc>
          <w:tcPr>
            <w:tcW w:w="738" w:type="dxa"/>
            <w:vMerge w:val="restart"/>
            <w:textDirection w:val="btLr"/>
          </w:tcPr>
          <w:p w14:paraId="04A81E5B" w14:textId="13E73FD7" w:rsidR="00DD303C" w:rsidRPr="00B443A3" w:rsidRDefault="00DD303C" w:rsidP="00DD303C">
            <w:pPr>
              <w:pStyle w:val="ListParagraph"/>
              <w:spacing w:before="120" w:after="120"/>
              <w:ind w:left="360" w:right="115"/>
              <w:jc w:val="center"/>
              <w:rPr>
                <w:b/>
                <w:sz w:val="24"/>
              </w:rPr>
            </w:pPr>
            <w:r>
              <w:rPr>
                <w:b/>
                <w:sz w:val="28"/>
              </w:rPr>
              <w:t>Meta-majors and Clarity</w:t>
            </w:r>
          </w:p>
        </w:tc>
        <w:tc>
          <w:tcPr>
            <w:tcW w:w="3780" w:type="dxa"/>
          </w:tcPr>
          <w:p w14:paraId="40A13F3B" w14:textId="2FA38F90" w:rsidR="00DD303C" w:rsidRPr="005E0CA2" w:rsidRDefault="00DD303C" w:rsidP="00DD303C">
            <w:pPr>
              <w:numPr>
                <w:ilvl w:val="0"/>
                <w:numId w:val="1"/>
              </w:numPr>
              <w:tabs>
                <w:tab w:val="clear" w:pos="720"/>
                <w:tab w:val="num" w:pos="450"/>
              </w:tabs>
              <w:ind w:left="360" w:hanging="270"/>
              <w:rPr>
                <w:sz w:val="24"/>
              </w:rPr>
            </w:pPr>
            <w:r>
              <w:rPr>
                <w:sz w:val="24"/>
              </w:rPr>
              <w:t xml:space="preserve"> </w:t>
            </w:r>
            <w:r w:rsidRPr="005E0CA2">
              <w:rPr>
                <w:sz w:val="24"/>
              </w:rPr>
              <w:t>Will a guiding framework</w:t>
            </w:r>
            <w:r>
              <w:rPr>
                <w:sz w:val="24"/>
              </w:rPr>
              <w:t xml:space="preserve"> </w:t>
            </w:r>
            <w:r w:rsidR="00816CE2">
              <w:rPr>
                <w:sz w:val="24"/>
              </w:rPr>
              <w:t>(</w:t>
            </w:r>
            <w:r>
              <w:rPr>
                <w:sz w:val="24"/>
              </w:rPr>
              <w:t>e.g.</w:t>
            </w:r>
            <w:r w:rsidRPr="005E0CA2">
              <w:rPr>
                <w:sz w:val="24"/>
              </w:rPr>
              <w:t xml:space="preserve"> four pillars,</w:t>
            </w:r>
            <w:r>
              <w:rPr>
                <w:sz w:val="24"/>
              </w:rPr>
              <w:t xml:space="preserve"> CCCCO design principles, </w:t>
            </w:r>
            <w:r w:rsidRPr="005E0CA2">
              <w:rPr>
                <w:sz w:val="24"/>
              </w:rPr>
              <w:t>equity</w:t>
            </w:r>
            <w:r>
              <w:rPr>
                <w:sz w:val="24"/>
              </w:rPr>
              <w:t>, or a unique college-specific concept</w:t>
            </w:r>
            <w:r w:rsidR="00816CE2">
              <w:rPr>
                <w:sz w:val="24"/>
              </w:rPr>
              <w:t>)</w:t>
            </w:r>
            <w:r w:rsidRPr="005E0CA2">
              <w:rPr>
                <w:sz w:val="24"/>
              </w:rPr>
              <w:t xml:space="preserve"> </w:t>
            </w:r>
            <w:r>
              <w:rPr>
                <w:sz w:val="24"/>
              </w:rPr>
              <w:t>unify re-design</w:t>
            </w:r>
            <w:r w:rsidRPr="005E0CA2">
              <w:rPr>
                <w:sz w:val="24"/>
              </w:rPr>
              <w:t>?</w:t>
            </w:r>
          </w:p>
        </w:tc>
        <w:tc>
          <w:tcPr>
            <w:tcW w:w="4950" w:type="dxa"/>
          </w:tcPr>
          <w:p w14:paraId="0503A0CA" w14:textId="568602AC" w:rsidR="00DD303C" w:rsidRPr="001B0C63" w:rsidRDefault="00DD303C" w:rsidP="00DD303C">
            <w:pPr>
              <w:rPr>
                <w:sz w:val="24"/>
              </w:rPr>
            </w:pPr>
            <w:r>
              <w:rPr>
                <w:sz w:val="24"/>
              </w:rPr>
              <w:t>Using a college-specific framework or overarching design will link the meta-majors to a goal and vision. It also helps support messaging and outreach.</w:t>
            </w:r>
          </w:p>
        </w:tc>
        <w:tc>
          <w:tcPr>
            <w:tcW w:w="3780" w:type="dxa"/>
          </w:tcPr>
          <w:p w14:paraId="773C1D80" w14:textId="77777777" w:rsidR="00DD303C" w:rsidRDefault="00DD303C" w:rsidP="00DD303C">
            <w:pPr>
              <w:rPr>
                <w:sz w:val="24"/>
              </w:rPr>
            </w:pPr>
          </w:p>
        </w:tc>
      </w:tr>
      <w:tr w:rsidR="00DD303C" w14:paraId="2E36BF4F" w14:textId="77777777" w:rsidTr="00CB5911">
        <w:tc>
          <w:tcPr>
            <w:tcW w:w="738" w:type="dxa"/>
            <w:vMerge/>
          </w:tcPr>
          <w:p w14:paraId="5F9022D4" w14:textId="40A9CD51" w:rsidR="00DD303C" w:rsidRPr="005E0CA2" w:rsidRDefault="00DD303C" w:rsidP="00DD303C">
            <w:pPr>
              <w:pStyle w:val="ListParagraph"/>
              <w:ind w:left="360"/>
              <w:rPr>
                <w:sz w:val="24"/>
              </w:rPr>
            </w:pPr>
          </w:p>
        </w:tc>
        <w:tc>
          <w:tcPr>
            <w:tcW w:w="3780" w:type="dxa"/>
          </w:tcPr>
          <w:p w14:paraId="37950478" w14:textId="30C75D7B" w:rsidR="00DD303C" w:rsidRPr="005E0CA2" w:rsidRDefault="00DD303C" w:rsidP="00DD303C">
            <w:pPr>
              <w:numPr>
                <w:ilvl w:val="0"/>
                <w:numId w:val="1"/>
              </w:numPr>
              <w:tabs>
                <w:tab w:val="clear" w:pos="720"/>
                <w:tab w:val="num" w:pos="450"/>
              </w:tabs>
              <w:ind w:left="360" w:hanging="270"/>
              <w:rPr>
                <w:sz w:val="24"/>
              </w:rPr>
            </w:pPr>
            <w:r w:rsidRPr="005E0CA2">
              <w:rPr>
                <w:bCs/>
                <w:sz w:val="24"/>
              </w:rPr>
              <w:t>Will meta-major construction sustain status quo, be thoughtfully and incrementally creative</w:t>
            </w:r>
            <w:r w:rsidR="00816CE2">
              <w:rPr>
                <w:bCs/>
                <w:sz w:val="24"/>
              </w:rPr>
              <w:t>,</w:t>
            </w:r>
            <w:r w:rsidRPr="005E0CA2">
              <w:rPr>
                <w:bCs/>
                <w:sz w:val="24"/>
              </w:rPr>
              <w:t xml:space="preserve"> or </w:t>
            </w:r>
            <w:r>
              <w:rPr>
                <w:bCs/>
                <w:sz w:val="24"/>
              </w:rPr>
              <w:t>use agile</w:t>
            </w:r>
            <w:r w:rsidRPr="005E0CA2">
              <w:rPr>
                <w:bCs/>
                <w:sz w:val="24"/>
              </w:rPr>
              <w:t xml:space="preserve"> </w:t>
            </w:r>
            <w:r>
              <w:rPr>
                <w:bCs/>
                <w:sz w:val="24"/>
              </w:rPr>
              <w:t xml:space="preserve">innovation with rapid change and evaluation? </w:t>
            </w:r>
            <w:r w:rsidRPr="005E0CA2">
              <w:rPr>
                <w:bCs/>
                <w:sz w:val="24"/>
              </w:rPr>
              <w:t xml:space="preserve"> </w:t>
            </w:r>
          </w:p>
        </w:tc>
        <w:tc>
          <w:tcPr>
            <w:tcW w:w="4950" w:type="dxa"/>
          </w:tcPr>
          <w:p w14:paraId="6AD9472F" w14:textId="65EAEAC7" w:rsidR="00DD303C" w:rsidRPr="001B0C63" w:rsidRDefault="00DD303C" w:rsidP="00DD303C">
            <w:pPr>
              <w:rPr>
                <w:sz w:val="24"/>
              </w:rPr>
            </w:pPr>
            <w:r>
              <w:rPr>
                <w:sz w:val="24"/>
              </w:rPr>
              <w:t>Colleges have various schema for creating departments, divisions, dean areas, etc. But these were usually NOT constructed based on pathways. Will the college reorganize leadership or add a GP layer?</w:t>
            </w:r>
          </w:p>
        </w:tc>
        <w:tc>
          <w:tcPr>
            <w:tcW w:w="3780" w:type="dxa"/>
          </w:tcPr>
          <w:p w14:paraId="2C8CBCE1" w14:textId="77777777" w:rsidR="00DD303C" w:rsidRDefault="00DD303C" w:rsidP="00DD303C">
            <w:pPr>
              <w:rPr>
                <w:sz w:val="24"/>
              </w:rPr>
            </w:pPr>
          </w:p>
        </w:tc>
      </w:tr>
      <w:tr w:rsidR="00DD303C" w14:paraId="5E1630E4" w14:textId="77777777" w:rsidTr="00CB5911">
        <w:tc>
          <w:tcPr>
            <w:tcW w:w="738" w:type="dxa"/>
            <w:vMerge/>
          </w:tcPr>
          <w:p w14:paraId="0555FCB0" w14:textId="636E77C1" w:rsidR="00DD303C" w:rsidRPr="005E0CA2" w:rsidRDefault="00DD303C" w:rsidP="00DD303C">
            <w:pPr>
              <w:pStyle w:val="ListParagraph"/>
              <w:ind w:left="360"/>
              <w:rPr>
                <w:bCs/>
                <w:sz w:val="24"/>
              </w:rPr>
            </w:pPr>
          </w:p>
        </w:tc>
        <w:tc>
          <w:tcPr>
            <w:tcW w:w="3780" w:type="dxa"/>
          </w:tcPr>
          <w:p w14:paraId="4ECBAE40" w14:textId="5DEE6ABD" w:rsidR="00DD303C" w:rsidRPr="005E0CA2" w:rsidRDefault="00DD303C" w:rsidP="00DD303C">
            <w:pPr>
              <w:numPr>
                <w:ilvl w:val="0"/>
                <w:numId w:val="1"/>
              </w:numPr>
              <w:tabs>
                <w:tab w:val="clear" w:pos="720"/>
                <w:tab w:val="num" w:pos="450"/>
              </w:tabs>
              <w:ind w:left="360" w:hanging="270"/>
              <w:rPr>
                <w:sz w:val="24"/>
              </w:rPr>
            </w:pPr>
            <w:r w:rsidRPr="00354B2F">
              <w:rPr>
                <w:bCs/>
                <w:sz w:val="24"/>
              </w:rPr>
              <w:t>How will meta-major groupings foster the use of data, inquiry, and evidence and encourage participants to take ownership of goals and performance?</w:t>
            </w:r>
          </w:p>
        </w:tc>
        <w:tc>
          <w:tcPr>
            <w:tcW w:w="4950" w:type="dxa"/>
          </w:tcPr>
          <w:p w14:paraId="76E89D92" w14:textId="75A187E0" w:rsidR="00DD303C" w:rsidRPr="001B0C63" w:rsidRDefault="00DD303C" w:rsidP="00DD303C">
            <w:pPr>
              <w:rPr>
                <w:sz w:val="24"/>
              </w:rPr>
            </w:pPr>
            <w:r>
              <w:rPr>
                <w:sz w:val="24"/>
              </w:rPr>
              <w:t>Deciding early what data is needed and how to communicate timely data is advantageous in successfully understanding the different supports and messaging needed for meta-major students and faculty.</w:t>
            </w:r>
          </w:p>
        </w:tc>
        <w:tc>
          <w:tcPr>
            <w:tcW w:w="3780" w:type="dxa"/>
          </w:tcPr>
          <w:p w14:paraId="54F1DF73" w14:textId="77777777" w:rsidR="00DD303C" w:rsidRDefault="00DD303C" w:rsidP="00DD303C">
            <w:pPr>
              <w:rPr>
                <w:sz w:val="24"/>
              </w:rPr>
            </w:pPr>
          </w:p>
        </w:tc>
      </w:tr>
      <w:tr w:rsidR="00DD303C" w14:paraId="2CB574F7" w14:textId="77777777" w:rsidTr="00CB5911">
        <w:tc>
          <w:tcPr>
            <w:tcW w:w="738" w:type="dxa"/>
            <w:vMerge/>
          </w:tcPr>
          <w:p w14:paraId="145E8D2C" w14:textId="29406B77" w:rsidR="00DD303C" w:rsidRPr="00354B2F" w:rsidRDefault="00DD303C" w:rsidP="00DD303C">
            <w:pPr>
              <w:pStyle w:val="ListParagraph"/>
              <w:ind w:left="360"/>
              <w:rPr>
                <w:bCs/>
                <w:sz w:val="24"/>
              </w:rPr>
            </w:pPr>
          </w:p>
        </w:tc>
        <w:tc>
          <w:tcPr>
            <w:tcW w:w="3780" w:type="dxa"/>
          </w:tcPr>
          <w:p w14:paraId="0A5A8B82" w14:textId="0CA76DBB" w:rsidR="00DD303C" w:rsidRPr="00354B2F" w:rsidRDefault="00DD303C" w:rsidP="00DD303C">
            <w:pPr>
              <w:numPr>
                <w:ilvl w:val="0"/>
                <w:numId w:val="1"/>
              </w:numPr>
              <w:tabs>
                <w:tab w:val="clear" w:pos="720"/>
                <w:tab w:val="num" w:pos="450"/>
              </w:tabs>
              <w:ind w:left="360" w:hanging="270"/>
              <w:rPr>
                <w:sz w:val="24"/>
              </w:rPr>
            </w:pPr>
            <w:r w:rsidRPr="00D64A13">
              <w:rPr>
                <w:rFonts w:cstheme="minorHAnsi"/>
                <w:sz w:val="24"/>
              </w:rPr>
              <w:t xml:space="preserve">What does it mean to be a </w:t>
            </w:r>
            <w:r>
              <w:rPr>
                <w:rFonts w:cstheme="minorHAnsi"/>
                <w:sz w:val="24"/>
              </w:rPr>
              <w:t>discipline or program in a meta-</w:t>
            </w:r>
            <w:r w:rsidRPr="00D64A13">
              <w:rPr>
                <w:rFonts w:cstheme="minorHAnsi"/>
                <w:sz w:val="24"/>
              </w:rPr>
              <w:t>major?</w:t>
            </w:r>
            <w:r>
              <w:rPr>
                <w:rFonts w:cstheme="minorHAnsi"/>
                <w:sz w:val="24"/>
              </w:rPr>
              <w:t xml:space="preserve"> </w:t>
            </w:r>
          </w:p>
        </w:tc>
        <w:tc>
          <w:tcPr>
            <w:tcW w:w="4950" w:type="dxa"/>
          </w:tcPr>
          <w:p w14:paraId="4EA6A862" w14:textId="6B5A0D2D" w:rsidR="00DD303C" w:rsidRPr="001B0C63" w:rsidRDefault="00DD303C" w:rsidP="00DD303C">
            <w:pPr>
              <w:rPr>
                <w:sz w:val="24"/>
              </w:rPr>
            </w:pPr>
            <w:r>
              <w:rPr>
                <w:sz w:val="24"/>
              </w:rPr>
              <w:t>Reorganizing, after decades of static cultural organization, will require rationale, understanding</w:t>
            </w:r>
            <w:r w:rsidR="00816CE2">
              <w:rPr>
                <w:sz w:val="24"/>
              </w:rPr>
              <w:t>,</w:t>
            </w:r>
            <w:r>
              <w:rPr>
                <w:sz w:val="24"/>
              </w:rPr>
              <w:t xml:space="preserve"> and identity. Creating meta-majors because that is what you do in guided pathways – is not a sustainable rationale for change.</w:t>
            </w:r>
          </w:p>
        </w:tc>
        <w:tc>
          <w:tcPr>
            <w:tcW w:w="3780" w:type="dxa"/>
          </w:tcPr>
          <w:p w14:paraId="6A968D3E" w14:textId="77777777" w:rsidR="00DD303C" w:rsidRDefault="00DD303C" w:rsidP="00DD303C">
            <w:pPr>
              <w:rPr>
                <w:sz w:val="24"/>
              </w:rPr>
            </w:pPr>
          </w:p>
        </w:tc>
      </w:tr>
      <w:tr w:rsidR="00DD303C" w14:paraId="2BB850FB" w14:textId="77777777" w:rsidTr="00CB5911">
        <w:tc>
          <w:tcPr>
            <w:tcW w:w="738" w:type="dxa"/>
            <w:vMerge/>
          </w:tcPr>
          <w:p w14:paraId="3C94F141" w14:textId="77777777" w:rsidR="00DD303C" w:rsidRDefault="00DD303C" w:rsidP="00DD303C">
            <w:pPr>
              <w:pStyle w:val="ListParagraph"/>
              <w:ind w:left="360"/>
              <w:rPr>
                <w:rFonts w:cstheme="minorHAnsi"/>
                <w:sz w:val="24"/>
              </w:rPr>
            </w:pPr>
          </w:p>
        </w:tc>
        <w:tc>
          <w:tcPr>
            <w:tcW w:w="3780" w:type="dxa"/>
          </w:tcPr>
          <w:p w14:paraId="38F80C7A" w14:textId="0B8D7D0C" w:rsidR="00DD303C" w:rsidRPr="005E0CA2" w:rsidRDefault="00DD303C" w:rsidP="00DD303C">
            <w:pPr>
              <w:pStyle w:val="ListParagraph"/>
              <w:numPr>
                <w:ilvl w:val="0"/>
                <w:numId w:val="5"/>
              </w:numPr>
              <w:tabs>
                <w:tab w:val="num" w:pos="450"/>
              </w:tabs>
              <w:ind w:left="360" w:hanging="270"/>
              <w:rPr>
                <w:bCs/>
                <w:sz w:val="24"/>
              </w:rPr>
            </w:pPr>
            <w:r>
              <w:rPr>
                <w:sz w:val="24"/>
              </w:rPr>
              <w:t>Will m</w:t>
            </w:r>
            <w:r w:rsidRPr="005E0CA2">
              <w:rPr>
                <w:sz w:val="24"/>
              </w:rPr>
              <w:t xml:space="preserve">eta-majors be constructed with the math pathways as a driver? </w:t>
            </w:r>
          </w:p>
        </w:tc>
        <w:tc>
          <w:tcPr>
            <w:tcW w:w="4950" w:type="dxa"/>
          </w:tcPr>
          <w:p w14:paraId="1F037133" w14:textId="3B173FD2" w:rsidR="00DD303C" w:rsidRDefault="00DD303C" w:rsidP="00DD303C">
            <w:pPr>
              <w:rPr>
                <w:sz w:val="24"/>
              </w:rPr>
            </w:pPr>
            <w:r>
              <w:rPr>
                <w:sz w:val="24"/>
              </w:rPr>
              <w:t>The appropriate math pathway is the first step in identifying pathways for students and affects the way programs are clustered in meta-majors. Are these already mapped across programs?</w:t>
            </w:r>
          </w:p>
        </w:tc>
        <w:tc>
          <w:tcPr>
            <w:tcW w:w="3780" w:type="dxa"/>
          </w:tcPr>
          <w:p w14:paraId="621A72F0" w14:textId="77777777" w:rsidR="00DD303C" w:rsidRDefault="00DD303C" w:rsidP="00DD303C">
            <w:pPr>
              <w:rPr>
                <w:sz w:val="24"/>
              </w:rPr>
            </w:pPr>
          </w:p>
        </w:tc>
      </w:tr>
      <w:tr w:rsidR="00DD303C" w14:paraId="0ABE496B" w14:textId="77777777" w:rsidTr="00CB5911">
        <w:trPr>
          <w:cantSplit/>
          <w:trHeight w:val="887"/>
        </w:trPr>
        <w:tc>
          <w:tcPr>
            <w:tcW w:w="738" w:type="dxa"/>
            <w:textDirection w:val="btLr"/>
          </w:tcPr>
          <w:p w14:paraId="1D6B0DFE" w14:textId="035142C2" w:rsidR="00DD303C" w:rsidRDefault="00DD303C" w:rsidP="00DD303C">
            <w:pPr>
              <w:jc w:val="center"/>
              <w:rPr>
                <w:b/>
                <w:bCs/>
                <w:sz w:val="28"/>
              </w:rPr>
            </w:pPr>
            <w:r>
              <w:rPr>
                <w:noProof/>
                <w:sz w:val="24"/>
              </w:rPr>
              <w:lastRenderedPageBreak/>
              <w:drawing>
                <wp:inline distT="0" distB="0" distL="0" distR="0" wp14:anchorId="5F7AAD85" wp14:editId="6B7E19D4">
                  <wp:extent cx="631029" cy="420686"/>
                  <wp:effectExtent l="0" t="9207" r="7937" b="0"/>
                  <wp:docPr id="9" name="Picture 9" descr="C:\Users\Janet\AppData\Local\Microsoft\Windows\INetCache\IE\WTVA0MA0\collaborate_sh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t\AppData\Local\Microsoft\Windows\INetCache\IE\WTVA0MA0\collaborate_share[1].jpg"/>
                          <pic:cNvPicPr>
                            <a:picLocks noChangeAspect="1" noChangeArrowheads="1"/>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46463" cy="430975"/>
                          </a:xfrm>
                          <a:prstGeom prst="rect">
                            <a:avLst/>
                          </a:prstGeom>
                          <a:noFill/>
                          <a:ln>
                            <a:noFill/>
                          </a:ln>
                        </pic:spPr>
                      </pic:pic>
                    </a:graphicData>
                  </a:graphic>
                </wp:inline>
              </w:drawing>
            </w:r>
          </w:p>
        </w:tc>
        <w:tc>
          <w:tcPr>
            <w:tcW w:w="3780" w:type="dxa"/>
            <w:shd w:val="clear" w:color="auto" w:fill="E7E6E6" w:themeFill="background2"/>
          </w:tcPr>
          <w:p w14:paraId="2F049999" w14:textId="5806D6A5" w:rsidR="00DD303C" w:rsidRPr="005E0CA2" w:rsidRDefault="00DD303C" w:rsidP="00DD303C">
            <w:pPr>
              <w:rPr>
                <w:bCs/>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5E8551A1" w14:textId="19656950"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6285CEB8"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42584C93" w14:textId="77777777" w:rsidR="00DD303C" w:rsidRDefault="00DD303C" w:rsidP="00DD303C">
            <w:pPr>
              <w:rPr>
                <w:b/>
                <w:sz w:val="24"/>
              </w:rPr>
            </w:pPr>
            <w:r>
              <w:rPr>
                <w:b/>
                <w:sz w:val="24"/>
              </w:rPr>
              <w:t xml:space="preserve">2. </w:t>
            </w:r>
            <w:r w:rsidRPr="007C7E54">
              <w:rPr>
                <w:b/>
                <w:sz w:val="24"/>
              </w:rPr>
              <w:t xml:space="preserve">Who should attend these discussions? </w:t>
            </w:r>
          </w:p>
          <w:p w14:paraId="3B997F88" w14:textId="507E742D" w:rsidR="00DD303C" w:rsidRDefault="00DD303C" w:rsidP="00DD303C">
            <w:pPr>
              <w:rPr>
                <w:sz w:val="24"/>
              </w:rPr>
            </w:pPr>
            <w:r>
              <w:rPr>
                <w:b/>
                <w:sz w:val="24"/>
              </w:rPr>
              <w:t xml:space="preserve">3. </w:t>
            </w:r>
            <w:r w:rsidRPr="007C7E54">
              <w:rPr>
                <w:b/>
                <w:sz w:val="24"/>
              </w:rPr>
              <w:t>Who makes the final decision?</w:t>
            </w:r>
          </w:p>
        </w:tc>
      </w:tr>
      <w:tr w:rsidR="00DD303C" w14:paraId="044DAB9B" w14:textId="77777777" w:rsidTr="00CB5911">
        <w:trPr>
          <w:cantSplit/>
          <w:trHeight w:val="1134"/>
        </w:trPr>
        <w:tc>
          <w:tcPr>
            <w:tcW w:w="738" w:type="dxa"/>
            <w:vMerge w:val="restart"/>
            <w:textDirection w:val="btLr"/>
          </w:tcPr>
          <w:p w14:paraId="3A81B9DB" w14:textId="188726C6" w:rsidR="00DD303C" w:rsidRDefault="00DD303C" w:rsidP="00DD303C">
            <w:pPr>
              <w:ind w:left="360" w:right="113"/>
              <w:jc w:val="center"/>
              <w:rPr>
                <w:b/>
                <w:bCs/>
                <w:sz w:val="28"/>
              </w:rPr>
            </w:pPr>
            <w:r>
              <w:rPr>
                <w:b/>
                <w:bCs/>
                <w:sz w:val="28"/>
              </w:rPr>
              <w:t>Meta-majors and Collaboration</w:t>
            </w:r>
          </w:p>
        </w:tc>
        <w:tc>
          <w:tcPr>
            <w:tcW w:w="3780" w:type="dxa"/>
          </w:tcPr>
          <w:p w14:paraId="1DC3D3D0" w14:textId="7DF9DD81" w:rsidR="00DD303C" w:rsidRDefault="00DD303C" w:rsidP="00DD303C">
            <w:pPr>
              <w:numPr>
                <w:ilvl w:val="0"/>
                <w:numId w:val="1"/>
              </w:numPr>
              <w:tabs>
                <w:tab w:val="clear" w:pos="720"/>
                <w:tab w:val="num" w:pos="450"/>
              </w:tabs>
              <w:ind w:left="360" w:hanging="270"/>
              <w:rPr>
                <w:rFonts w:cstheme="minorHAnsi"/>
                <w:sz w:val="24"/>
              </w:rPr>
            </w:pPr>
            <w:r w:rsidRPr="005E0CA2">
              <w:rPr>
                <w:bCs/>
                <w:sz w:val="24"/>
              </w:rPr>
              <w:t>Who needs to be part of the discussions and how will decisions be made as to final structure?</w:t>
            </w:r>
          </w:p>
        </w:tc>
        <w:tc>
          <w:tcPr>
            <w:tcW w:w="4950" w:type="dxa"/>
          </w:tcPr>
          <w:p w14:paraId="7CA19073" w14:textId="053B9B92" w:rsidR="00DD303C" w:rsidRDefault="00DD303C" w:rsidP="00816CE2">
            <w:pPr>
              <w:rPr>
                <w:sz w:val="24"/>
              </w:rPr>
            </w:pPr>
            <w:r>
              <w:rPr>
                <w:sz w:val="24"/>
              </w:rPr>
              <w:t xml:space="preserve">Participants must include discipline faculty but should </w:t>
            </w:r>
            <w:r w:rsidR="00816CE2">
              <w:rPr>
                <w:sz w:val="24"/>
              </w:rPr>
              <w:t xml:space="preserve">also </w:t>
            </w:r>
            <w:r>
              <w:rPr>
                <w:sz w:val="24"/>
              </w:rPr>
              <w:t xml:space="preserve">include </w:t>
            </w:r>
            <w:r w:rsidR="00816CE2">
              <w:rPr>
                <w:sz w:val="24"/>
              </w:rPr>
              <w:t xml:space="preserve">experts from </w:t>
            </w:r>
            <w:r>
              <w:rPr>
                <w:sz w:val="24"/>
              </w:rPr>
              <w:t>financial aid, admissions and records, counseling and advising, student support etc. Groupings may affect financial aid and ability to declare a major as well as registration and application processes.</w:t>
            </w:r>
          </w:p>
        </w:tc>
        <w:tc>
          <w:tcPr>
            <w:tcW w:w="3780" w:type="dxa"/>
          </w:tcPr>
          <w:p w14:paraId="5D2F8D54" w14:textId="1EADBDD9" w:rsidR="00DD303C" w:rsidRDefault="00DD303C" w:rsidP="00DD303C">
            <w:pPr>
              <w:rPr>
                <w:sz w:val="24"/>
              </w:rPr>
            </w:pPr>
          </w:p>
        </w:tc>
      </w:tr>
      <w:tr w:rsidR="00DD303C" w14:paraId="5A7DB902" w14:textId="77777777" w:rsidTr="00CB5911">
        <w:tc>
          <w:tcPr>
            <w:tcW w:w="738" w:type="dxa"/>
            <w:vMerge/>
          </w:tcPr>
          <w:p w14:paraId="0EE2A3D7" w14:textId="77777777" w:rsidR="00DD303C" w:rsidRDefault="00DD303C" w:rsidP="00DD303C">
            <w:pPr>
              <w:ind w:left="360"/>
              <w:rPr>
                <w:bCs/>
                <w:sz w:val="24"/>
              </w:rPr>
            </w:pPr>
          </w:p>
        </w:tc>
        <w:tc>
          <w:tcPr>
            <w:tcW w:w="3780" w:type="dxa"/>
          </w:tcPr>
          <w:p w14:paraId="27B41FD0" w14:textId="03FB7FF0" w:rsidR="00DD303C" w:rsidRDefault="00DD303C" w:rsidP="00DD303C">
            <w:pPr>
              <w:numPr>
                <w:ilvl w:val="0"/>
                <w:numId w:val="1"/>
              </w:numPr>
              <w:tabs>
                <w:tab w:val="clear" w:pos="720"/>
                <w:tab w:val="num" w:pos="450"/>
              </w:tabs>
              <w:ind w:left="360" w:hanging="270"/>
              <w:rPr>
                <w:rFonts w:cstheme="minorHAnsi"/>
                <w:sz w:val="24"/>
              </w:rPr>
            </w:pPr>
            <w:r>
              <w:rPr>
                <w:rFonts w:cstheme="minorHAnsi"/>
                <w:sz w:val="24"/>
              </w:rPr>
              <w:t>How will</w:t>
            </w:r>
            <w:r w:rsidRPr="00D64A13">
              <w:rPr>
                <w:rFonts w:cstheme="minorHAnsi"/>
                <w:sz w:val="24"/>
              </w:rPr>
              <w:t xml:space="preserve"> faculty f</w:t>
            </w:r>
            <w:r>
              <w:rPr>
                <w:rFonts w:cstheme="minorHAnsi"/>
                <w:sz w:val="24"/>
              </w:rPr>
              <w:t>rom disciplines within the meta-</w:t>
            </w:r>
            <w:r w:rsidRPr="00D64A13">
              <w:rPr>
                <w:rFonts w:cstheme="minorHAnsi"/>
                <w:sz w:val="24"/>
              </w:rPr>
              <w:t xml:space="preserve">majors work together? And to what end? </w:t>
            </w:r>
          </w:p>
        </w:tc>
        <w:tc>
          <w:tcPr>
            <w:tcW w:w="4950" w:type="dxa"/>
          </w:tcPr>
          <w:p w14:paraId="44352496" w14:textId="6267B9F5" w:rsidR="00DD303C" w:rsidRDefault="00DD303C" w:rsidP="00DD303C">
            <w:pPr>
              <w:rPr>
                <w:sz w:val="24"/>
              </w:rPr>
            </w:pPr>
            <w:r>
              <w:rPr>
                <w:sz w:val="24"/>
              </w:rPr>
              <w:t>Something new with guided pathways is the connection between disciplines. This is essential to make general education clear and relevant and to allow and plan for exploration. Will these discussions scheduled?</w:t>
            </w:r>
          </w:p>
        </w:tc>
        <w:tc>
          <w:tcPr>
            <w:tcW w:w="3780" w:type="dxa"/>
          </w:tcPr>
          <w:p w14:paraId="45C966E8" w14:textId="77777777" w:rsidR="00DD303C" w:rsidRDefault="00DD303C" w:rsidP="00DD303C">
            <w:pPr>
              <w:rPr>
                <w:sz w:val="24"/>
              </w:rPr>
            </w:pPr>
          </w:p>
        </w:tc>
      </w:tr>
      <w:tr w:rsidR="00DD303C" w14:paraId="571C1758" w14:textId="77777777" w:rsidTr="00CB5911">
        <w:tc>
          <w:tcPr>
            <w:tcW w:w="738" w:type="dxa"/>
            <w:vMerge/>
          </w:tcPr>
          <w:p w14:paraId="33FBAC97" w14:textId="77777777" w:rsidR="00DD303C" w:rsidRDefault="00DD303C" w:rsidP="00DD303C">
            <w:pPr>
              <w:ind w:left="360"/>
              <w:rPr>
                <w:bCs/>
                <w:sz w:val="24"/>
              </w:rPr>
            </w:pPr>
          </w:p>
        </w:tc>
        <w:tc>
          <w:tcPr>
            <w:tcW w:w="3780" w:type="dxa"/>
          </w:tcPr>
          <w:p w14:paraId="5918E2D6" w14:textId="1637D3D3" w:rsidR="00DD303C" w:rsidRDefault="00DD303C" w:rsidP="00DD303C">
            <w:pPr>
              <w:numPr>
                <w:ilvl w:val="0"/>
                <w:numId w:val="1"/>
              </w:numPr>
              <w:tabs>
                <w:tab w:val="clear" w:pos="720"/>
                <w:tab w:val="num" w:pos="450"/>
              </w:tabs>
              <w:ind w:left="360" w:hanging="270"/>
              <w:rPr>
                <w:rFonts w:cstheme="minorHAnsi"/>
                <w:sz w:val="24"/>
              </w:rPr>
            </w:pPr>
            <w:r>
              <w:rPr>
                <w:sz w:val="24"/>
              </w:rPr>
              <w:t>Ho</w:t>
            </w:r>
            <w:r w:rsidRPr="005E0CA2">
              <w:rPr>
                <w:sz w:val="24"/>
              </w:rPr>
              <w:t>w</w:t>
            </w:r>
            <w:r>
              <w:rPr>
                <w:sz w:val="24"/>
              </w:rPr>
              <w:t xml:space="preserve"> will</w:t>
            </w:r>
            <w:r w:rsidRPr="005E0CA2">
              <w:rPr>
                <w:sz w:val="24"/>
              </w:rPr>
              <w:t xml:space="preserve"> CTE programs of study will be in</w:t>
            </w:r>
            <w:r>
              <w:rPr>
                <w:sz w:val="24"/>
              </w:rPr>
              <w:t>cluded?</w:t>
            </w:r>
            <w:r w:rsidRPr="005E0CA2">
              <w:rPr>
                <w:sz w:val="24"/>
              </w:rPr>
              <w:t xml:space="preserve"> </w:t>
            </w:r>
            <w:r>
              <w:rPr>
                <w:sz w:val="24"/>
              </w:rPr>
              <w:t>W</w:t>
            </w:r>
            <w:r w:rsidRPr="005E0CA2">
              <w:rPr>
                <w:sz w:val="24"/>
              </w:rPr>
              <w:t>ill</w:t>
            </w:r>
            <w:r>
              <w:rPr>
                <w:sz w:val="24"/>
              </w:rPr>
              <w:t xml:space="preserve"> CTE be integrated with majors or</w:t>
            </w:r>
            <w:r w:rsidRPr="005E0CA2">
              <w:rPr>
                <w:sz w:val="24"/>
              </w:rPr>
              <w:t xml:space="preserve"> ke</w:t>
            </w:r>
            <w:r>
              <w:rPr>
                <w:sz w:val="24"/>
              </w:rPr>
              <w:t>pt in separate meta-majors, or</w:t>
            </w:r>
            <w:r w:rsidRPr="005E0CA2">
              <w:rPr>
                <w:sz w:val="24"/>
              </w:rPr>
              <w:t xml:space="preserve"> </w:t>
            </w:r>
            <w:r>
              <w:rPr>
                <w:sz w:val="24"/>
              </w:rPr>
              <w:t>integrated?</w:t>
            </w:r>
          </w:p>
        </w:tc>
        <w:tc>
          <w:tcPr>
            <w:tcW w:w="4950" w:type="dxa"/>
          </w:tcPr>
          <w:p w14:paraId="2AC31E9C" w14:textId="7876C03B" w:rsidR="00DD303C" w:rsidRDefault="00DD303C" w:rsidP="00DD303C">
            <w:pPr>
              <w:rPr>
                <w:sz w:val="24"/>
              </w:rPr>
            </w:pPr>
            <w:r>
              <w:rPr>
                <w:sz w:val="24"/>
              </w:rPr>
              <w:t>Some CTE programs are very specific and coursework does not overlap much. Other programs are scaffolded allowing further educational advancement. Should the meta-majors be developed to enhance this?</w:t>
            </w:r>
          </w:p>
        </w:tc>
        <w:tc>
          <w:tcPr>
            <w:tcW w:w="3780" w:type="dxa"/>
          </w:tcPr>
          <w:p w14:paraId="1A7A0B9C" w14:textId="77777777" w:rsidR="00DD303C" w:rsidRDefault="00DD303C" w:rsidP="00DD303C">
            <w:pPr>
              <w:rPr>
                <w:sz w:val="24"/>
              </w:rPr>
            </w:pPr>
          </w:p>
        </w:tc>
      </w:tr>
      <w:tr w:rsidR="00DD303C" w14:paraId="6F9E3772" w14:textId="77777777" w:rsidTr="00CB5911">
        <w:tc>
          <w:tcPr>
            <w:tcW w:w="738" w:type="dxa"/>
            <w:vMerge/>
          </w:tcPr>
          <w:p w14:paraId="32DAB0D8" w14:textId="77777777" w:rsidR="00DD303C" w:rsidRDefault="00DD303C" w:rsidP="00DD303C">
            <w:pPr>
              <w:ind w:left="360"/>
              <w:rPr>
                <w:bCs/>
                <w:sz w:val="24"/>
              </w:rPr>
            </w:pPr>
          </w:p>
        </w:tc>
        <w:tc>
          <w:tcPr>
            <w:tcW w:w="3780" w:type="dxa"/>
          </w:tcPr>
          <w:p w14:paraId="0ABF204B" w14:textId="7815F7FE" w:rsidR="00DD303C" w:rsidRDefault="00DD303C" w:rsidP="00DD303C">
            <w:pPr>
              <w:numPr>
                <w:ilvl w:val="0"/>
                <w:numId w:val="1"/>
              </w:numPr>
              <w:tabs>
                <w:tab w:val="clear" w:pos="720"/>
                <w:tab w:val="num" w:pos="450"/>
              </w:tabs>
              <w:ind w:left="360" w:hanging="270"/>
              <w:rPr>
                <w:rFonts w:cstheme="minorHAnsi"/>
                <w:sz w:val="24"/>
              </w:rPr>
            </w:pPr>
            <w:r>
              <w:rPr>
                <w:rFonts w:cstheme="minorHAnsi"/>
                <w:sz w:val="24"/>
              </w:rPr>
              <w:t>How will counseling and advising be represented in the meta-majors?</w:t>
            </w:r>
          </w:p>
        </w:tc>
        <w:tc>
          <w:tcPr>
            <w:tcW w:w="4950" w:type="dxa"/>
          </w:tcPr>
          <w:p w14:paraId="61469E35" w14:textId="3C5EC728" w:rsidR="00DD303C" w:rsidRDefault="00DD303C" w:rsidP="00CB5911">
            <w:pPr>
              <w:rPr>
                <w:sz w:val="24"/>
              </w:rPr>
            </w:pPr>
            <w:r>
              <w:rPr>
                <w:sz w:val="24"/>
              </w:rPr>
              <w:t xml:space="preserve">One point of conflict can develop between counseling and </w:t>
            </w:r>
            <w:r w:rsidR="00CB5911">
              <w:rPr>
                <w:sz w:val="24"/>
              </w:rPr>
              <w:t xml:space="preserve">advising by </w:t>
            </w:r>
            <w:r>
              <w:rPr>
                <w:sz w:val="24"/>
              </w:rPr>
              <w:t>discipline</w:t>
            </w:r>
            <w:r w:rsidR="00CB5911">
              <w:rPr>
                <w:sz w:val="24"/>
              </w:rPr>
              <w:t xml:space="preserve"> faculty. How will this be coordinated to ensure integration?</w:t>
            </w:r>
          </w:p>
        </w:tc>
        <w:tc>
          <w:tcPr>
            <w:tcW w:w="3780" w:type="dxa"/>
          </w:tcPr>
          <w:p w14:paraId="6D304399" w14:textId="77777777" w:rsidR="00DD303C" w:rsidRDefault="00DD303C" w:rsidP="00DD303C">
            <w:pPr>
              <w:rPr>
                <w:sz w:val="24"/>
              </w:rPr>
            </w:pPr>
          </w:p>
        </w:tc>
      </w:tr>
      <w:tr w:rsidR="00DD303C" w14:paraId="463C4A1F" w14:textId="77777777" w:rsidTr="00CB5911">
        <w:tc>
          <w:tcPr>
            <w:tcW w:w="738" w:type="dxa"/>
            <w:vMerge/>
          </w:tcPr>
          <w:p w14:paraId="57F3B158" w14:textId="77777777" w:rsidR="00DD303C" w:rsidRDefault="00DD303C" w:rsidP="00DD303C">
            <w:pPr>
              <w:ind w:left="360"/>
              <w:rPr>
                <w:bCs/>
                <w:sz w:val="24"/>
              </w:rPr>
            </w:pPr>
          </w:p>
        </w:tc>
        <w:tc>
          <w:tcPr>
            <w:tcW w:w="3780" w:type="dxa"/>
          </w:tcPr>
          <w:p w14:paraId="3AE75E60" w14:textId="3C03E9A5" w:rsidR="00DD303C" w:rsidRDefault="00DD303C" w:rsidP="00DD303C">
            <w:pPr>
              <w:numPr>
                <w:ilvl w:val="0"/>
                <w:numId w:val="1"/>
              </w:numPr>
              <w:tabs>
                <w:tab w:val="clear" w:pos="720"/>
                <w:tab w:val="num" w:pos="450"/>
              </w:tabs>
              <w:ind w:left="360" w:hanging="270"/>
              <w:rPr>
                <w:rFonts w:cstheme="minorHAnsi"/>
                <w:sz w:val="24"/>
              </w:rPr>
            </w:pPr>
            <w:r w:rsidRPr="005E0CA2">
              <w:rPr>
                <w:bCs/>
                <w:sz w:val="24"/>
              </w:rPr>
              <w:t xml:space="preserve">How will partners across systems, </w:t>
            </w:r>
            <w:r w:rsidRPr="005E0CA2">
              <w:rPr>
                <w:sz w:val="24"/>
              </w:rPr>
              <w:t xml:space="preserve">CSU, K-12 &amp; the CCCCO, </w:t>
            </w:r>
            <w:r w:rsidRPr="005E0CA2">
              <w:rPr>
                <w:bCs/>
                <w:sz w:val="24"/>
              </w:rPr>
              <w:t>be included in the meta-major discussion</w:t>
            </w:r>
            <w:r w:rsidRPr="005E0CA2">
              <w:rPr>
                <w:sz w:val="24"/>
              </w:rPr>
              <w:t>?</w:t>
            </w:r>
          </w:p>
        </w:tc>
        <w:tc>
          <w:tcPr>
            <w:tcW w:w="4950" w:type="dxa"/>
          </w:tcPr>
          <w:p w14:paraId="591C67CF" w14:textId="7D273D33" w:rsidR="00DD303C" w:rsidRDefault="00DD303C" w:rsidP="00DD303C">
            <w:pPr>
              <w:rPr>
                <w:sz w:val="24"/>
              </w:rPr>
            </w:pPr>
            <w:r>
              <w:rPr>
                <w:sz w:val="24"/>
              </w:rPr>
              <w:t>Communicating pathways to high schoolers so that they can make informed decisions is important. Transfer institution requirements inform GE selection.</w:t>
            </w:r>
          </w:p>
        </w:tc>
        <w:tc>
          <w:tcPr>
            <w:tcW w:w="3780" w:type="dxa"/>
          </w:tcPr>
          <w:p w14:paraId="31C74F5C" w14:textId="77777777" w:rsidR="00DD303C" w:rsidRDefault="00DD303C" w:rsidP="00DD303C">
            <w:pPr>
              <w:rPr>
                <w:sz w:val="24"/>
              </w:rPr>
            </w:pPr>
          </w:p>
        </w:tc>
      </w:tr>
      <w:tr w:rsidR="00DD303C" w14:paraId="41541428" w14:textId="77777777" w:rsidTr="00CB5911">
        <w:tc>
          <w:tcPr>
            <w:tcW w:w="738" w:type="dxa"/>
          </w:tcPr>
          <w:p w14:paraId="2FA672A5" w14:textId="1C1470E7" w:rsidR="00DD303C" w:rsidRDefault="00DD303C" w:rsidP="00DD303C">
            <w:pPr>
              <w:rPr>
                <w:bCs/>
                <w:sz w:val="24"/>
              </w:rPr>
            </w:pPr>
            <w:r>
              <w:rPr>
                <w:bCs/>
                <w:noProof/>
                <w:sz w:val="24"/>
              </w:rPr>
              <w:lastRenderedPageBreak/>
              <w:drawing>
                <wp:inline distT="0" distB="0" distL="0" distR="0" wp14:anchorId="7D3E76B7" wp14:editId="33FD82DB">
                  <wp:extent cx="390525" cy="323482"/>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323482"/>
                          </a:xfrm>
                          <a:prstGeom prst="rect">
                            <a:avLst/>
                          </a:prstGeom>
                          <a:noFill/>
                        </pic:spPr>
                      </pic:pic>
                    </a:graphicData>
                  </a:graphic>
                </wp:inline>
              </w:drawing>
            </w:r>
          </w:p>
        </w:tc>
        <w:tc>
          <w:tcPr>
            <w:tcW w:w="3780" w:type="dxa"/>
            <w:shd w:val="clear" w:color="auto" w:fill="E7E6E6" w:themeFill="background2"/>
          </w:tcPr>
          <w:p w14:paraId="1F88FF22" w14:textId="72158531" w:rsidR="00DD303C" w:rsidRPr="005E0CA2" w:rsidRDefault="00DD303C" w:rsidP="00DD303C">
            <w:pPr>
              <w:rPr>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65B07100" w14:textId="3EA3AD20"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28357613"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25FF7B64" w14:textId="77777777" w:rsidR="00DD303C" w:rsidRDefault="00DD303C" w:rsidP="00DD303C">
            <w:pPr>
              <w:rPr>
                <w:b/>
                <w:sz w:val="24"/>
              </w:rPr>
            </w:pPr>
            <w:r>
              <w:rPr>
                <w:b/>
                <w:sz w:val="24"/>
              </w:rPr>
              <w:t xml:space="preserve">2. </w:t>
            </w:r>
            <w:r w:rsidRPr="007C7E54">
              <w:rPr>
                <w:b/>
                <w:sz w:val="24"/>
              </w:rPr>
              <w:t xml:space="preserve">Who should attend these discussions? </w:t>
            </w:r>
          </w:p>
          <w:p w14:paraId="3CEBE8F0" w14:textId="552D5F8D" w:rsidR="00DD303C" w:rsidRDefault="00DD303C" w:rsidP="00DD303C">
            <w:pPr>
              <w:rPr>
                <w:sz w:val="24"/>
              </w:rPr>
            </w:pPr>
            <w:r>
              <w:rPr>
                <w:b/>
                <w:sz w:val="24"/>
              </w:rPr>
              <w:t xml:space="preserve">3. </w:t>
            </w:r>
            <w:r w:rsidRPr="007C7E54">
              <w:rPr>
                <w:b/>
                <w:sz w:val="24"/>
              </w:rPr>
              <w:t>Who makes the final decision?</w:t>
            </w:r>
          </w:p>
        </w:tc>
      </w:tr>
      <w:tr w:rsidR="00DD303C" w14:paraId="2C3A9288" w14:textId="77777777" w:rsidTr="00CB5911">
        <w:tc>
          <w:tcPr>
            <w:tcW w:w="738" w:type="dxa"/>
            <w:vMerge w:val="restart"/>
            <w:textDirection w:val="btLr"/>
          </w:tcPr>
          <w:p w14:paraId="56063683" w14:textId="34CC312C" w:rsidR="00DD303C" w:rsidRDefault="00DD303C" w:rsidP="00DD303C">
            <w:pPr>
              <w:ind w:left="360" w:right="113"/>
              <w:jc w:val="center"/>
              <w:rPr>
                <w:bCs/>
                <w:sz w:val="24"/>
              </w:rPr>
            </w:pPr>
            <w:r>
              <w:rPr>
                <w:b/>
                <w:bCs/>
                <w:sz w:val="28"/>
                <w:szCs w:val="28"/>
              </w:rPr>
              <w:t xml:space="preserve">Meta-majors and </w:t>
            </w:r>
            <w:r w:rsidRPr="00F6206D">
              <w:rPr>
                <w:b/>
                <w:bCs/>
                <w:sz w:val="28"/>
                <w:szCs w:val="28"/>
              </w:rPr>
              <w:t>In</w:t>
            </w:r>
            <w:r w:rsidRPr="00F6206D">
              <w:rPr>
                <w:b/>
                <w:bCs/>
                <w:sz w:val="28"/>
              </w:rPr>
              <w:t>tegration</w:t>
            </w:r>
          </w:p>
        </w:tc>
        <w:tc>
          <w:tcPr>
            <w:tcW w:w="3780" w:type="dxa"/>
          </w:tcPr>
          <w:p w14:paraId="476633F4" w14:textId="5C0234E8" w:rsidR="00DD303C" w:rsidRPr="005E0CA2" w:rsidRDefault="00DD303C" w:rsidP="00DD303C">
            <w:pPr>
              <w:numPr>
                <w:ilvl w:val="0"/>
                <w:numId w:val="1"/>
              </w:numPr>
              <w:tabs>
                <w:tab w:val="clear" w:pos="720"/>
                <w:tab w:val="num" w:pos="450"/>
              </w:tabs>
              <w:ind w:left="360" w:hanging="274"/>
              <w:rPr>
                <w:bCs/>
                <w:sz w:val="24"/>
              </w:rPr>
            </w:pPr>
            <w:r w:rsidRPr="005E0CA2">
              <w:rPr>
                <w:sz w:val="24"/>
              </w:rPr>
              <w:t xml:space="preserve">Are meta-majors designed around a framework integrating initiatives and funding sources? </w:t>
            </w:r>
          </w:p>
        </w:tc>
        <w:tc>
          <w:tcPr>
            <w:tcW w:w="4950" w:type="dxa"/>
          </w:tcPr>
          <w:p w14:paraId="36E3F4DA" w14:textId="17002353" w:rsidR="00DD303C" w:rsidRDefault="00DD303C" w:rsidP="00DD303C">
            <w:pPr>
              <w:rPr>
                <w:sz w:val="24"/>
              </w:rPr>
            </w:pPr>
            <w:r>
              <w:rPr>
                <w:sz w:val="24"/>
              </w:rPr>
              <w:t>Equity, SSSP, Basic Skills, Title 5 – these have all been siloed in areas of the colleges. Will the funding be integrated, flow to all meta-majors or remain separate?</w:t>
            </w:r>
          </w:p>
        </w:tc>
        <w:tc>
          <w:tcPr>
            <w:tcW w:w="3780" w:type="dxa"/>
          </w:tcPr>
          <w:p w14:paraId="62352789" w14:textId="77777777" w:rsidR="00DD303C" w:rsidRDefault="00DD303C" w:rsidP="00DD303C">
            <w:pPr>
              <w:rPr>
                <w:sz w:val="24"/>
              </w:rPr>
            </w:pPr>
          </w:p>
        </w:tc>
      </w:tr>
      <w:tr w:rsidR="00DD303C" w14:paraId="56B9B68E" w14:textId="77777777" w:rsidTr="00CB5911">
        <w:tc>
          <w:tcPr>
            <w:tcW w:w="738" w:type="dxa"/>
            <w:vMerge/>
          </w:tcPr>
          <w:p w14:paraId="54695709" w14:textId="4CBC1BF6" w:rsidR="00DD303C" w:rsidRDefault="00DD303C" w:rsidP="00DD303C">
            <w:pPr>
              <w:ind w:left="360"/>
              <w:rPr>
                <w:bCs/>
                <w:sz w:val="24"/>
              </w:rPr>
            </w:pPr>
          </w:p>
        </w:tc>
        <w:tc>
          <w:tcPr>
            <w:tcW w:w="3780" w:type="dxa"/>
          </w:tcPr>
          <w:p w14:paraId="683CCFAE" w14:textId="1D4E8540" w:rsidR="00DD303C" w:rsidRPr="005E0CA2" w:rsidRDefault="00DD303C" w:rsidP="00DD303C">
            <w:pPr>
              <w:numPr>
                <w:ilvl w:val="0"/>
                <w:numId w:val="1"/>
              </w:numPr>
              <w:tabs>
                <w:tab w:val="clear" w:pos="720"/>
                <w:tab w:val="num" w:pos="450"/>
              </w:tabs>
              <w:ind w:left="360" w:hanging="274"/>
              <w:rPr>
                <w:bCs/>
                <w:sz w:val="24"/>
              </w:rPr>
            </w:pPr>
            <w:r w:rsidRPr="005E0CA2">
              <w:rPr>
                <w:sz w:val="24"/>
              </w:rPr>
              <w:t>How will remediation and basic skills progression fit within each meta-major?</w:t>
            </w:r>
          </w:p>
        </w:tc>
        <w:tc>
          <w:tcPr>
            <w:tcW w:w="4950" w:type="dxa"/>
          </w:tcPr>
          <w:p w14:paraId="7FF83720" w14:textId="5E00AE9E" w:rsidR="00DD303C" w:rsidRDefault="00DD303C" w:rsidP="00DD303C">
            <w:pPr>
              <w:rPr>
                <w:sz w:val="24"/>
              </w:rPr>
            </w:pPr>
            <w:r>
              <w:rPr>
                <w:sz w:val="24"/>
              </w:rPr>
              <w:t>Determining the role of remediation in each metamajor or as a separate unit is important. Remember, additional work falls on English, ESL, Reading and Math.</w:t>
            </w:r>
          </w:p>
        </w:tc>
        <w:tc>
          <w:tcPr>
            <w:tcW w:w="3780" w:type="dxa"/>
          </w:tcPr>
          <w:p w14:paraId="7067BC8F" w14:textId="77777777" w:rsidR="00DD303C" w:rsidRDefault="00DD303C" w:rsidP="00DD303C">
            <w:pPr>
              <w:rPr>
                <w:sz w:val="24"/>
              </w:rPr>
            </w:pPr>
          </w:p>
        </w:tc>
      </w:tr>
      <w:tr w:rsidR="00DD303C" w14:paraId="69FBAACA" w14:textId="77777777" w:rsidTr="00CB5911">
        <w:tc>
          <w:tcPr>
            <w:tcW w:w="738" w:type="dxa"/>
            <w:vMerge/>
          </w:tcPr>
          <w:p w14:paraId="6CF83AF8" w14:textId="3CBE6C83" w:rsidR="00DD303C" w:rsidRDefault="00DD303C" w:rsidP="00DD303C">
            <w:pPr>
              <w:ind w:left="360"/>
              <w:rPr>
                <w:bCs/>
                <w:sz w:val="24"/>
              </w:rPr>
            </w:pPr>
          </w:p>
        </w:tc>
        <w:tc>
          <w:tcPr>
            <w:tcW w:w="3780" w:type="dxa"/>
          </w:tcPr>
          <w:p w14:paraId="09FB21A0" w14:textId="53DA9E08" w:rsidR="00DD303C" w:rsidRPr="005E0CA2" w:rsidRDefault="00DD303C" w:rsidP="00DD303C">
            <w:pPr>
              <w:numPr>
                <w:ilvl w:val="0"/>
                <w:numId w:val="1"/>
              </w:numPr>
              <w:tabs>
                <w:tab w:val="clear" w:pos="720"/>
                <w:tab w:val="num" w:pos="450"/>
              </w:tabs>
              <w:ind w:left="360" w:hanging="274"/>
              <w:rPr>
                <w:bCs/>
                <w:sz w:val="24"/>
              </w:rPr>
            </w:pPr>
            <w:r w:rsidRPr="00D64A13">
              <w:rPr>
                <w:rFonts w:cstheme="minorHAnsi"/>
                <w:sz w:val="24"/>
              </w:rPr>
              <w:t>What organizational structures ar</w:t>
            </w:r>
            <w:r>
              <w:rPr>
                <w:rFonts w:cstheme="minorHAnsi"/>
                <w:sz w:val="24"/>
              </w:rPr>
              <w:t>e necessary to support the meta-</w:t>
            </w:r>
            <w:r w:rsidRPr="00D64A13">
              <w:rPr>
                <w:rFonts w:cstheme="minorHAnsi"/>
                <w:sz w:val="24"/>
              </w:rPr>
              <w:t>major</w:t>
            </w:r>
            <w:r>
              <w:rPr>
                <w:rFonts w:cstheme="minorHAnsi"/>
                <w:sz w:val="24"/>
              </w:rPr>
              <w:t>s</w:t>
            </w:r>
            <w:r w:rsidRPr="00D64A13">
              <w:rPr>
                <w:rFonts w:cstheme="minorHAnsi"/>
                <w:sz w:val="24"/>
              </w:rPr>
              <w:t>?</w:t>
            </w:r>
          </w:p>
        </w:tc>
        <w:tc>
          <w:tcPr>
            <w:tcW w:w="4950" w:type="dxa"/>
          </w:tcPr>
          <w:p w14:paraId="0245AF66" w14:textId="27D5BD96" w:rsidR="00DD303C" w:rsidRDefault="00DD303C" w:rsidP="00DD303C">
            <w:pPr>
              <w:rPr>
                <w:sz w:val="24"/>
              </w:rPr>
            </w:pPr>
            <w:r>
              <w:rPr>
                <w:sz w:val="24"/>
              </w:rPr>
              <w:t>Typically colleges structure organizatio</w:t>
            </w:r>
            <w:r w:rsidR="00CB5911">
              <w:rPr>
                <w:sz w:val="24"/>
              </w:rPr>
              <w:t>n around people (deans &amp; VPs),</w:t>
            </w:r>
            <w:r>
              <w:rPr>
                <w:sz w:val="24"/>
              </w:rPr>
              <w:t xml:space="preserve"> budgets</w:t>
            </w:r>
            <w:r w:rsidR="00CB5911">
              <w:rPr>
                <w:sz w:val="24"/>
              </w:rPr>
              <w:t>, or buildings. Guided p</w:t>
            </w:r>
            <w:r>
              <w:rPr>
                <w:sz w:val="24"/>
              </w:rPr>
              <w:t>athways structures are based on the end goals and student needs.</w:t>
            </w:r>
          </w:p>
        </w:tc>
        <w:tc>
          <w:tcPr>
            <w:tcW w:w="3780" w:type="dxa"/>
          </w:tcPr>
          <w:p w14:paraId="46669F57" w14:textId="77777777" w:rsidR="00DD303C" w:rsidRDefault="00DD303C" w:rsidP="00DD303C">
            <w:pPr>
              <w:rPr>
                <w:sz w:val="24"/>
              </w:rPr>
            </w:pPr>
          </w:p>
        </w:tc>
      </w:tr>
      <w:tr w:rsidR="00DD303C" w14:paraId="0495B229" w14:textId="77777777" w:rsidTr="00CB5911">
        <w:tc>
          <w:tcPr>
            <w:tcW w:w="738" w:type="dxa"/>
            <w:vMerge/>
          </w:tcPr>
          <w:p w14:paraId="13A7072F" w14:textId="62E6361E" w:rsidR="00DD303C" w:rsidRDefault="00DD303C" w:rsidP="00DD303C">
            <w:pPr>
              <w:ind w:left="360"/>
              <w:rPr>
                <w:bCs/>
                <w:sz w:val="24"/>
              </w:rPr>
            </w:pPr>
          </w:p>
        </w:tc>
        <w:tc>
          <w:tcPr>
            <w:tcW w:w="3780" w:type="dxa"/>
          </w:tcPr>
          <w:p w14:paraId="09CB4F06" w14:textId="00D7BF51" w:rsidR="00DD303C" w:rsidRPr="005E0CA2" w:rsidRDefault="00DD303C" w:rsidP="00DD303C">
            <w:pPr>
              <w:numPr>
                <w:ilvl w:val="0"/>
                <w:numId w:val="1"/>
              </w:numPr>
              <w:tabs>
                <w:tab w:val="clear" w:pos="720"/>
                <w:tab w:val="num" w:pos="450"/>
              </w:tabs>
              <w:ind w:left="360" w:hanging="274"/>
              <w:rPr>
                <w:bCs/>
                <w:sz w:val="24"/>
              </w:rPr>
            </w:pPr>
            <w:r>
              <w:rPr>
                <w:rFonts w:cstheme="minorHAnsi"/>
                <w:sz w:val="24"/>
              </w:rPr>
              <w:t>How/Will meta-majors affect scheduling of classes?</w:t>
            </w:r>
          </w:p>
        </w:tc>
        <w:tc>
          <w:tcPr>
            <w:tcW w:w="4950" w:type="dxa"/>
          </w:tcPr>
          <w:p w14:paraId="57A34E74" w14:textId="4E2A3B42" w:rsidR="00DD303C" w:rsidRDefault="00DD303C" w:rsidP="00DD303C">
            <w:pPr>
              <w:rPr>
                <w:sz w:val="24"/>
              </w:rPr>
            </w:pPr>
            <w:r>
              <w:rPr>
                <w:sz w:val="24"/>
              </w:rPr>
              <w:t>How does independent departmental scheduling influence institutional and collaborative effort?</w:t>
            </w:r>
          </w:p>
        </w:tc>
        <w:tc>
          <w:tcPr>
            <w:tcW w:w="3780" w:type="dxa"/>
          </w:tcPr>
          <w:p w14:paraId="2F05979A" w14:textId="77777777" w:rsidR="00DD303C" w:rsidRDefault="00DD303C" w:rsidP="00DD303C">
            <w:pPr>
              <w:rPr>
                <w:sz w:val="24"/>
              </w:rPr>
            </w:pPr>
          </w:p>
        </w:tc>
      </w:tr>
      <w:tr w:rsidR="00DD303C" w14:paraId="0DE6EE24" w14:textId="77777777" w:rsidTr="00CB5911">
        <w:tc>
          <w:tcPr>
            <w:tcW w:w="738" w:type="dxa"/>
            <w:vMerge/>
          </w:tcPr>
          <w:p w14:paraId="22BBEF62" w14:textId="107F17FF" w:rsidR="00DD303C" w:rsidRDefault="00DD303C" w:rsidP="00DD303C">
            <w:pPr>
              <w:ind w:left="360"/>
              <w:rPr>
                <w:bCs/>
                <w:sz w:val="24"/>
              </w:rPr>
            </w:pPr>
          </w:p>
        </w:tc>
        <w:tc>
          <w:tcPr>
            <w:tcW w:w="3780" w:type="dxa"/>
          </w:tcPr>
          <w:p w14:paraId="1EDB552D" w14:textId="0B5200B2" w:rsidR="00DD303C" w:rsidRPr="005E0CA2" w:rsidRDefault="00DD303C" w:rsidP="00DD303C">
            <w:pPr>
              <w:numPr>
                <w:ilvl w:val="0"/>
                <w:numId w:val="1"/>
              </w:numPr>
              <w:tabs>
                <w:tab w:val="clear" w:pos="720"/>
                <w:tab w:val="num" w:pos="450"/>
              </w:tabs>
              <w:ind w:left="360" w:hanging="274"/>
              <w:rPr>
                <w:bCs/>
                <w:sz w:val="24"/>
              </w:rPr>
            </w:pPr>
            <w:r w:rsidRPr="005E0CA2">
              <w:rPr>
                <w:sz w:val="24"/>
              </w:rPr>
              <w:t>What is the cycle or calendar to assure meta-major construction is reviewed and iterative?</w:t>
            </w:r>
          </w:p>
        </w:tc>
        <w:tc>
          <w:tcPr>
            <w:tcW w:w="4950" w:type="dxa"/>
          </w:tcPr>
          <w:p w14:paraId="5F5F5944" w14:textId="07A6AB8F" w:rsidR="00DD303C" w:rsidRDefault="00DD303C" w:rsidP="00DD303C">
            <w:pPr>
              <w:rPr>
                <w:sz w:val="24"/>
              </w:rPr>
            </w:pPr>
            <w:r>
              <w:rPr>
                <w:sz w:val="24"/>
              </w:rPr>
              <w:t>Calendaring review of the decisions make it easier to move forward with drafts or first versions and transparency.</w:t>
            </w:r>
          </w:p>
        </w:tc>
        <w:tc>
          <w:tcPr>
            <w:tcW w:w="3780" w:type="dxa"/>
          </w:tcPr>
          <w:p w14:paraId="67F06F33" w14:textId="77777777" w:rsidR="00DD303C" w:rsidRDefault="00DD303C" w:rsidP="00DD303C">
            <w:pPr>
              <w:rPr>
                <w:sz w:val="24"/>
              </w:rPr>
            </w:pPr>
          </w:p>
        </w:tc>
      </w:tr>
      <w:tr w:rsidR="00DD303C" w14:paraId="2E069062" w14:textId="77777777" w:rsidTr="00CB5911">
        <w:tc>
          <w:tcPr>
            <w:tcW w:w="738" w:type="dxa"/>
            <w:vMerge/>
          </w:tcPr>
          <w:p w14:paraId="715B96FD" w14:textId="691B3A4F" w:rsidR="00DD303C" w:rsidRDefault="00DD303C" w:rsidP="00DD303C">
            <w:pPr>
              <w:ind w:left="360"/>
              <w:rPr>
                <w:bCs/>
                <w:sz w:val="24"/>
              </w:rPr>
            </w:pPr>
          </w:p>
        </w:tc>
        <w:tc>
          <w:tcPr>
            <w:tcW w:w="3780" w:type="dxa"/>
          </w:tcPr>
          <w:p w14:paraId="61BC6603" w14:textId="2C6E62FB" w:rsidR="00DD303C" w:rsidRPr="005E0CA2" w:rsidRDefault="00DD303C" w:rsidP="00DD303C">
            <w:pPr>
              <w:numPr>
                <w:ilvl w:val="0"/>
                <w:numId w:val="1"/>
              </w:numPr>
              <w:tabs>
                <w:tab w:val="clear" w:pos="720"/>
                <w:tab w:val="num" w:pos="450"/>
              </w:tabs>
              <w:ind w:left="360" w:hanging="274"/>
              <w:rPr>
                <w:bCs/>
                <w:sz w:val="24"/>
              </w:rPr>
            </w:pPr>
            <w:r>
              <w:rPr>
                <w:sz w:val="24"/>
              </w:rPr>
              <w:t>Will m</w:t>
            </w:r>
            <w:r w:rsidRPr="005E0CA2">
              <w:rPr>
                <w:sz w:val="24"/>
              </w:rPr>
              <w:t xml:space="preserve">eta-majors </w:t>
            </w:r>
            <w:r>
              <w:rPr>
                <w:sz w:val="24"/>
              </w:rPr>
              <w:t xml:space="preserve">be </w:t>
            </w:r>
            <w:r w:rsidRPr="005E0CA2">
              <w:rPr>
                <w:sz w:val="24"/>
              </w:rPr>
              <w:t xml:space="preserve">constructed based on overlapping coursework </w:t>
            </w:r>
            <w:r>
              <w:rPr>
                <w:sz w:val="24"/>
              </w:rPr>
              <w:t>to reduce unit loss?</w:t>
            </w:r>
          </w:p>
        </w:tc>
        <w:tc>
          <w:tcPr>
            <w:tcW w:w="4950" w:type="dxa"/>
          </w:tcPr>
          <w:p w14:paraId="13A275E8" w14:textId="2620DF93" w:rsidR="00DD303C" w:rsidRDefault="00DD303C" w:rsidP="00DD303C">
            <w:pPr>
              <w:rPr>
                <w:sz w:val="24"/>
              </w:rPr>
            </w:pPr>
            <w:r>
              <w:rPr>
                <w:sz w:val="24"/>
              </w:rPr>
              <w:t>What overlaps in course work and general education exist. Students will change majors; does the overlap save potentially lost units?</w:t>
            </w:r>
          </w:p>
        </w:tc>
        <w:tc>
          <w:tcPr>
            <w:tcW w:w="3780" w:type="dxa"/>
          </w:tcPr>
          <w:p w14:paraId="5A91FF93" w14:textId="77777777" w:rsidR="00DD303C" w:rsidRDefault="00DD303C" w:rsidP="00DD303C">
            <w:pPr>
              <w:rPr>
                <w:sz w:val="24"/>
              </w:rPr>
            </w:pPr>
          </w:p>
        </w:tc>
      </w:tr>
      <w:tr w:rsidR="00DD303C" w14:paraId="7978422E" w14:textId="77777777" w:rsidTr="00CB5911">
        <w:tc>
          <w:tcPr>
            <w:tcW w:w="738" w:type="dxa"/>
            <w:vMerge/>
          </w:tcPr>
          <w:p w14:paraId="336200FD" w14:textId="39E07E50" w:rsidR="00DD303C" w:rsidRDefault="00DD303C" w:rsidP="00DD303C">
            <w:pPr>
              <w:ind w:left="360"/>
              <w:rPr>
                <w:bCs/>
                <w:sz w:val="24"/>
              </w:rPr>
            </w:pPr>
          </w:p>
        </w:tc>
        <w:tc>
          <w:tcPr>
            <w:tcW w:w="3780" w:type="dxa"/>
          </w:tcPr>
          <w:p w14:paraId="51CCBF41" w14:textId="317FA5C6" w:rsidR="00DD303C" w:rsidRPr="005E0CA2" w:rsidRDefault="00DD303C" w:rsidP="00DD303C">
            <w:pPr>
              <w:numPr>
                <w:ilvl w:val="0"/>
                <w:numId w:val="1"/>
              </w:numPr>
              <w:tabs>
                <w:tab w:val="clear" w:pos="720"/>
                <w:tab w:val="num" w:pos="450"/>
              </w:tabs>
              <w:ind w:left="360" w:hanging="274"/>
              <w:rPr>
                <w:bCs/>
                <w:sz w:val="24"/>
              </w:rPr>
            </w:pPr>
            <w:r w:rsidRPr="005E0CA2">
              <w:rPr>
                <w:sz w:val="24"/>
              </w:rPr>
              <w:t>Wi</w:t>
            </w:r>
            <w:r>
              <w:rPr>
                <w:sz w:val="24"/>
              </w:rPr>
              <w:t>l</w:t>
            </w:r>
            <w:r w:rsidRPr="005E0CA2">
              <w:rPr>
                <w:sz w:val="24"/>
              </w:rPr>
              <w:t>l the groupings</w:t>
            </w:r>
            <w:r>
              <w:rPr>
                <w:sz w:val="24"/>
              </w:rPr>
              <w:t xml:space="preserve"> (meta-majors)</w:t>
            </w:r>
            <w:r w:rsidRPr="005E0CA2">
              <w:rPr>
                <w:sz w:val="24"/>
              </w:rPr>
              <w:t xml:space="preserve"> be inclusive </w:t>
            </w:r>
            <w:r>
              <w:rPr>
                <w:sz w:val="24"/>
              </w:rPr>
              <w:t>or exclusive or will they follow a set of rules</w:t>
            </w:r>
            <w:r w:rsidRPr="005E0CA2">
              <w:rPr>
                <w:sz w:val="24"/>
              </w:rPr>
              <w:t>?</w:t>
            </w:r>
          </w:p>
        </w:tc>
        <w:tc>
          <w:tcPr>
            <w:tcW w:w="4950" w:type="dxa"/>
          </w:tcPr>
          <w:p w14:paraId="36D1F62F" w14:textId="506570C7" w:rsidR="00DD303C" w:rsidRDefault="00DD303C" w:rsidP="00DD303C">
            <w:pPr>
              <w:rPr>
                <w:sz w:val="24"/>
              </w:rPr>
            </w:pPr>
            <w:r>
              <w:rPr>
                <w:sz w:val="24"/>
              </w:rPr>
              <w:t>Some programs will want to exclude others and other programs will feel they belong in multiple meta-majors.</w:t>
            </w:r>
          </w:p>
        </w:tc>
        <w:tc>
          <w:tcPr>
            <w:tcW w:w="3780" w:type="dxa"/>
          </w:tcPr>
          <w:p w14:paraId="2FDE2D2F" w14:textId="77777777" w:rsidR="00DD303C" w:rsidRDefault="00DD303C" w:rsidP="00DD303C">
            <w:pPr>
              <w:rPr>
                <w:sz w:val="24"/>
              </w:rPr>
            </w:pPr>
          </w:p>
        </w:tc>
      </w:tr>
      <w:tr w:rsidR="00DD303C" w14:paraId="2E223D43" w14:textId="77777777" w:rsidTr="00CB5911">
        <w:tc>
          <w:tcPr>
            <w:tcW w:w="738" w:type="dxa"/>
          </w:tcPr>
          <w:p w14:paraId="32B08FCF" w14:textId="132A8E73" w:rsidR="00DD303C" w:rsidRDefault="00DD303C" w:rsidP="00DD303C">
            <w:pPr>
              <w:rPr>
                <w:sz w:val="24"/>
              </w:rPr>
            </w:pPr>
            <w:r>
              <w:rPr>
                <w:noProof/>
                <w:sz w:val="24"/>
              </w:rPr>
              <w:lastRenderedPageBreak/>
              <w:drawing>
                <wp:inline distT="0" distB="0" distL="0" distR="0" wp14:anchorId="62A79390" wp14:editId="3EFE2DA0">
                  <wp:extent cx="391048" cy="480882"/>
                  <wp:effectExtent l="0" t="0" r="9525" b="0"/>
                  <wp:docPr id="25" name="Picture 25" descr="C:\Users\Janet\AppData\Local\Microsoft\Windows\INetCache\IE\J38KXPRD\jug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t\AppData\Local\Microsoft\Windows\INetCache\IE\J38KXPRD\juggl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227" cy="484792"/>
                          </a:xfrm>
                          <a:prstGeom prst="rect">
                            <a:avLst/>
                          </a:prstGeom>
                          <a:noFill/>
                          <a:ln>
                            <a:noFill/>
                          </a:ln>
                        </pic:spPr>
                      </pic:pic>
                    </a:graphicData>
                  </a:graphic>
                </wp:inline>
              </w:drawing>
            </w:r>
          </w:p>
        </w:tc>
        <w:tc>
          <w:tcPr>
            <w:tcW w:w="3780" w:type="dxa"/>
            <w:shd w:val="clear" w:color="auto" w:fill="E7E6E6" w:themeFill="background2"/>
          </w:tcPr>
          <w:p w14:paraId="3A89C8F9" w14:textId="49F0223D" w:rsidR="00DD303C" w:rsidRPr="005E0CA2" w:rsidRDefault="00DD303C" w:rsidP="00DD303C">
            <w:pPr>
              <w:rPr>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52EFCAF4" w14:textId="70767E3C"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0CD5B491"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7D7CE062" w14:textId="77777777" w:rsidR="00DD303C" w:rsidRDefault="00DD303C" w:rsidP="00DD303C">
            <w:pPr>
              <w:rPr>
                <w:b/>
                <w:sz w:val="24"/>
              </w:rPr>
            </w:pPr>
            <w:r>
              <w:rPr>
                <w:b/>
                <w:sz w:val="24"/>
              </w:rPr>
              <w:t xml:space="preserve">2. </w:t>
            </w:r>
            <w:r w:rsidRPr="007C7E54">
              <w:rPr>
                <w:b/>
                <w:sz w:val="24"/>
              </w:rPr>
              <w:t xml:space="preserve">Who should attend these discussions? </w:t>
            </w:r>
          </w:p>
          <w:p w14:paraId="5449CBF4" w14:textId="3AB91B45" w:rsidR="00DD303C" w:rsidRDefault="00DD303C" w:rsidP="00DD303C">
            <w:pPr>
              <w:rPr>
                <w:sz w:val="24"/>
              </w:rPr>
            </w:pPr>
            <w:r>
              <w:rPr>
                <w:b/>
                <w:sz w:val="24"/>
              </w:rPr>
              <w:t xml:space="preserve">3. </w:t>
            </w:r>
            <w:r w:rsidRPr="007C7E54">
              <w:rPr>
                <w:b/>
                <w:sz w:val="24"/>
              </w:rPr>
              <w:t>Who makes the final decision?</w:t>
            </w:r>
          </w:p>
        </w:tc>
      </w:tr>
      <w:tr w:rsidR="00DD303C" w14:paraId="5C25B3F4" w14:textId="77777777" w:rsidTr="00CB5911">
        <w:tc>
          <w:tcPr>
            <w:tcW w:w="738" w:type="dxa"/>
            <w:vMerge w:val="restart"/>
            <w:textDirection w:val="btLr"/>
          </w:tcPr>
          <w:p w14:paraId="40425482" w14:textId="047C6F73" w:rsidR="00DD303C" w:rsidRPr="00F31BAB" w:rsidRDefault="00DD303C" w:rsidP="00DD303C">
            <w:pPr>
              <w:ind w:left="360" w:right="113"/>
              <w:jc w:val="center"/>
              <w:rPr>
                <w:b/>
                <w:bCs/>
                <w:sz w:val="24"/>
              </w:rPr>
            </w:pPr>
            <w:r w:rsidRPr="00F31BAB">
              <w:rPr>
                <w:b/>
                <w:bCs/>
                <w:sz w:val="28"/>
              </w:rPr>
              <w:t>Meta-majors and Manageability</w:t>
            </w:r>
          </w:p>
        </w:tc>
        <w:tc>
          <w:tcPr>
            <w:tcW w:w="3780" w:type="dxa"/>
          </w:tcPr>
          <w:p w14:paraId="4BB0D445" w14:textId="664F64AB" w:rsidR="00DD303C" w:rsidRPr="005E0CA2" w:rsidRDefault="00DD303C" w:rsidP="00DD303C">
            <w:pPr>
              <w:numPr>
                <w:ilvl w:val="0"/>
                <w:numId w:val="1"/>
              </w:numPr>
              <w:tabs>
                <w:tab w:val="clear" w:pos="720"/>
                <w:tab w:val="num" w:pos="450"/>
              </w:tabs>
              <w:ind w:left="360" w:hanging="270"/>
              <w:rPr>
                <w:bCs/>
                <w:sz w:val="24"/>
              </w:rPr>
            </w:pPr>
            <w:r w:rsidRPr="005E0CA2">
              <w:rPr>
                <w:sz w:val="24"/>
              </w:rPr>
              <w:t>Will existing data be used to determine what programs belong in what meta-majors</w:t>
            </w:r>
            <w:r>
              <w:rPr>
                <w:sz w:val="24"/>
              </w:rPr>
              <w:t>?</w:t>
            </w:r>
            <w:r w:rsidRPr="005E0CA2">
              <w:rPr>
                <w:sz w:val="24"/>
              </w:rPr>
              <w:t xml:space="preserve"> </w:t>
            </w:r>
            <w:r>
              <w:rPr>
                <w:sz w:val="24"/>
              </w:rPr>
              <w:t xml:space="preserve"> Will the planning examine the overlap of required and elective courses within meta-majors?</w:t>
            </w:r>
          </w:p>
        </w:tc>
        <w:tc>
          <w:tcPr>
            <w:tcW w:w="4950" w:type="dxa"/>
          </w:tcPr>
          <w:p w14:paraId="59CC3B20" w14:textId="741F4173" w:rsidR="00DD303C" w:rsidRDefault="00DD303C" w:rsidP="00DD303C">
            <w:pPr>
              <w:rPr>
                <w:sz w:val="24"/>
              </w:rPr>
            </w:pPr>
            <w:r>
              <w:rPr>
                <w:sz w:val="24"/>
              </w:rPr>
              <w:t>The college will need to create a database of the programs and component courses. Some curriculum programs may be able to download this for colleges.</w:t>
            </w:r>
          </w:p>
        </w:tc>
        <w:tc>
          <w:tcPr>
            <w:tcW w:w="3780" w:type="dxa"/>
          </w:tcPr>
          <w:p w14:paraId="0B050F39" w14:textId="1377B6A9" w:rsidR="00DD303C" w:rsidRDefault="00DD303C" w:rsidP="00DD303C">
            <w:pPr>
              <w:rPr>
                <w:sz w:val="24"/>
              </w:rPr>
            </w:pPr>
          </w:p>
        </w:tc>
      </w:tr>
      <w:tr w:rsidR="00DD303C" w14:paraId="3624C127" w14:textId="77777777" w:rsidTr="00CB5911">
        <w:tc>
          <w:tcPr>
            <w:tcW w:w="738" w:type="dxa"/>
            <w:vMerge/>
          </w:tcPr>
          <w:p w14:paraId="7D54563D" w14:textId="7372C1AE" w:rsidR="00DD303C" w:rsidRDefault="00DD303C" w:rsidP="00DD303C">
            <w:pPr>
              <w:ind w:left="360"/>
              <w:rPr>
                <w:sz w:val="24"/>
              </w:rPr>
            </w:pPr>
          </w:p>
        </w:tc>
        <w:tc>
          <w:tcPr>
            <w:tcW w:w="3780" w:type="dxa"/>
          </w:tcPr>
          <w:p w14:paraId="277D5BB2" w14:textId="75FA5C5D" w:rsidR="00DD303C" w:rsidRPr="005E0CA2" w:rsidRDefault="00DD303C" w:rsidP="00DD303C">
            <w:pPr>
              <w:numPr>
                <w:ilvl w:val="0"/>
                <w:numId w:val="1"/>
              </w:numPr>
              <w:tabs>
                <w:tab w:val="clear" w:pos="720"/>
                <w:tab w:val="num" w:pos="450"/>
              </w:tabs>
              <w:ind w:left="360" w:hanging="270"/>
              <w:rPr>
                <w:sz w:val="24"/>
              </w:rPr>
            </w:pPr>
            <w:r>
              <w:rPr>
                <w:sz w:val="24"/>
              </w:rPr>
              <w:t>Would</w:t>
            </w:r>
            <w:r w:rsidRPr="005E0CA2">
              <w:rPr>
                <w:sz w:val="24"/>
              </w:rPr>
              <w:t xml:space="preserve"> plan</w:t>
            </w:r>
            <w:r>
              <w:rPr>
                <w:sz w:val="24"/>
              </w:rPr>
              <w:t>ning</w:t>
            </w:r>
            <w:r w:rsidRPr="005E0CA2">
              <w:rPr>
                <w:sz w:val="24"/>
              </w:rPr>
              <w:t xml:space="preserve"> for future data collect</w:t>
            </w:r>
            <w:r>
              <w:rPr>
                <w:sz w:val="24"/>
              </w:rPr>
              <w:t>ion</w:t>
            </w:r>
            <w:r w:rsidRPr="005E0CA2">
              <w:rPr>
                <w:sz w:val="24"/>
              </w:rPr>
              <w:t xml:space="preserve"> clarify in</w:t>
            </w:r>
            <w:r>
              <w:rPr>
                <w:sz w:val="24"/>
              </w:rPr>
              <w:t>itial organizational structure?</w:t>
            </w:r>
          </w:p>
        </w:tc>
        <w:tc>
          <w:tcPr>
            <w:tcW w:w="4950" w:type="dxa"/>
          </w:tcPr>
          <w:p w14:paraId="0F33871F" w14:textId="3D3A7397" w:rsidR="00DD303C" w:rsidRDefault="00DD303C" w:rsidP="00DD303C">
            <w:pPr>
              <w:rPr>
                <w:sz w:val="24"/>
              </w:rPr>
            </w:pPr>
            <w:r>
              <w:rPr>
                <w:sz w:val="24"/>
              </w:rPr>
              <w:t xml:space="preserve">Currently most colleges have these data by course, but not by program. </w:t>
            </w:r>
          </w:p>
        </w:tc>
        <w:tc>
          <w:tcPr>
            <w:tcW w:w="3780" w:type="dxa"/>
          </w:tcPr>
          <w:p w14:paraId="46D3605E" w14:textId="77777777" w:rsidR="00DD303C" w:rsidRDefault="00DD303C" w:rsidP="00DD303C">
            <w:pPr>
              <w:rPr>
                <w:sz w:val="24"/>
              </w:rPr>
            </w:pPr>
          </w:p>
        </w:tc>
      </w:tr>
      <w:tr w:rsidR="00DD303C" w14:paraId="33C34E38" w14:textId="77777777" w:rsidTr="00CB5911">
        <w:tc>
          <w:tcPr>
            <w:tcW w:w="738" w:type="dxa"/>
            <w:vMerge/>
          </w:tcPr>
          <w:p w14:paraId="2E192D0E" w14:textId="2924C8D0" w:rsidR="00DD303C" w:rsidRDefault="00DD303C" w:rsidP="00DD303C">
            <w:pPr>
              <w:ind w:left="360"/>
              <w:rPr>
                <w:bCs/>
                <w:sz w:val="24"/>
              </w:rPr>
            </w:pPr>
          </w:p>
        </w:tc>
        <w:tc>
          <w:tcPr>
            <w:tcW w:w="3780" w:type="dxa"/>
          </w:tcPr>
          <w:p w14:paraId="16E24B8E" w14:textId="4694532B" w:rsidR="00DD303C" w:rsidRPr="005E0CA2" w:rsidRDefault="00DD303C" w:rsidP="00DD303C">
            <w:pPr>
              <w:numPr>
                <w:ilvl w:val="0"/>
                <w:numId w:val="1"/>
              </w:numPr>
              <w:tabs>
                <w:tab w:val="clear" w:pos="720"/>
                <w:tab w:val="num" w:pos="450"/>
              </w:tabs>
              <w:ind w:left="360" w:hanging="270"/>
              <w:rPr>
                <w:bCs/>
                <w:sz w:val="24"/>
              </w:rPr>
            </w:pPr>
            <w:r w:rsidRPr="005E0CA2">
              <w:rPr>
                <w:sz w:val="24"/>
              </w:rPr>
              <w:t xml:space="preserve">Will classification into meta-majors split departments based on outcomes </w:t>
            </w:r>
            <w:r w:rsidR="00CB5911">
              <w:rPr>
                <w:sz w:val="24"/>
              </w:rPr>
              <w:t>(</w:t>
            </w:r>
            <w:r w:rsidRPr="005E0CA2">
              <w:rPr>
                <w:sz w:val="24"/>
              </w:rPr>
              <w:t>e.g. Biology was split with majors in STEM and Allied Health Pre-requisites in a Health Sciences meta-major</w:t>
            </w:r>
            <w:r w:rsidR="00CB5911">
              <w:rPr>
                <w:sz w:val="24"/>
              </w:rPr>
              <w:t>)</w:t>
            </w:r>
            <w:r w:rsidRPr="005E0CA2">
              <w:rPr>
                <w:sz w:val="24"/>
              </w:rPr>
              <w:t>?</w:t>
            </w:r>
          </w:p>
        </w:tc>
        <w:tc>
          <w:tcPr>
            <w:tcW w:w="4950" w:type="dxa"/>
          </w:tcPr>
          <w:p w14:paraId="0279356C" w14:textId="50EF3C99" w:rsidR="00DD303C" w:rsidRDefault="00DD303C" w:rsidP="00DD303C">
            <w:pPr>
              <w:rPr>
                <w:sz w:val="24"/>
              </w:rPr>
            </w:pPr>
            <w:r>
              <w:rPr>
                <w:sz w:val="24"/>
              </w:rPr>
              <w:t>When looking at the end of a program, certain traditional departments may find themselves split into two meta-majors, will this work for the college? In many cases divisions will be split based on math requirements and common courses.</w:t>
            </w:r>
          </w:p>
        </w:tc>
        <w:tc>
          <w:tcPr>
            <w:tcW w:w="3780" w:type="dxa"/>
          </w:tcPr>
          <w:p w14:paraId="7F031180" w14:textId="7CFF213F" w:rsidR="00DD303C" w:rsidRDefault="00DD303C" w:rsidP="00DD303C">
            <w:pPr>
              <w:rPr>
                <w:sz w:val="24"/>
              </w:rPr>
            </w:pPr>
          </w:p>
        </w:tc>
      </w:tr>
      <w:tr w:rsidR="00DD303C" w14:paraId="501AC8DE" w14:textId="77777777" w:rsidTr="00CB5911">
        <w:tc>
          <w:tcPr>
            <w:tcW w:w="738" w:type="dxa"/>
            <w:vMerge/>
          </w:tcPr>
          <w:p w14:paraId="53E345EB" w14:textId="029CB75A" w:rsidR="00DD303C" w:rsidRDefault="00DD303C" w:rsidP="00DD303C">
            <w:pPr>
              <w:ind w:left="360"/>
              <w:rPr>
                <w:bCs/>
                <w:sz w:val="24"/>
              </w:rPr>
            </w:pPr>
          </w:p>
        </w:tc>
        <w:tc>
          <w:tcPr>
            <w:tcW w:w="3780" w:type="dxa"/>
          </w:tcPr>
          <w:p w14:paraId="356F4BEB" w14:textId="4C3EEC78" w:rsidR="00DD303C" w:rsidRPr="001B0C63" w:rsidRDefault="00DD303C" w:rsidP="00DD303C">
            <w:pPr>
              <w:numPr>
                <w:ilvl w:val="0"/>
                <w:numId w:val="1"/>
              </w:numPr>
              <w:tabs>
                <w:tab w:val="clear" w:pos="720"/>
                <w:tab w:val="num" w:pos="450"/>
              </w:tabs>
              <w:ind w:left="360" w:hanging="270"/>
              <w:rPr>
                <w:sz w:val="24"/>
              </w:rPr>
            </w:pPr>
            <w:r w:rsidRPr="00354B2F">
              <w:rPr>
                <w:bCs/>
                <w:sz w:val="24"/>
              </w:rPr>
              <w:t xml:space="preserve">Will the </w:t>
            </w:r>
            <w:r>
              <w:rPr>
                <w:bCs/>
                <w:sz w:val="24"/>
              </w:rPr>
              <w:t>meta-majors create new metrics like the KPI’s</w:t>
            </w:r>
            <w:r w:rsidRPr="00354B2F">
              <w:rPr>
                <w:bCs/>
                <w:sz w:val="24"/>
              </w:rPr>
              <w:t xml:space="preserve"> </w:t>
            </w:r>
          </w:p>
          <w:p w14:paraId="09C03610" w14:textId="77777777" w:rsidR="00DD303C" w:rsidRPr="001B0C63" w:rsidRDefault="00DD303C" w:rsidP="00DD303C">
            <w:pPr>
              <w:numPr>
                <w:ilvl w:val="0"/>
                <w:numId w:val="1"/>
              </w:numPr>
              <w:rPr>
                <w:sz w:val="24"/>
              </w:rPr>
            </w:pPr>
            <w:r>
              <w:rPr>
                <w:bCs/>
                <w:sz w:val="24"/>
              </w:rPr>
              <w:t>15 units first semester</w:t>
            </w:r>
          </w:p>
          <w:p w14:paraId="2DE6C66D" w14:textId="77777777" w:rsidR="00DD303C" w:rsidRPr="00A7602B" w:rsidRDefault="00DD303C" w:rsidP="00DD303C">
            <w:pPr>
              <w:numPr>
                <w:ilvl w:val="0"/>
                <w:numId w:val="1"/>
              </w:numPr>
              <w:rPr>
                <w:sz w:val="24"/>
              </w:rPr>
            </w:pPr>
            <w:r w:rsidRPr="00354B2F">
              <w:rPr>
                <w:bCs/>
                <w:sz w:val="24"/>
              </w:rPr>
              <w:t xml:space="preserve">30 units first year </w:t>
            </w:r>
          </w:p>
          <w:p w14:paraId="0957096F" w14:textId="77777777" w:rsidR="00DD303C" w:rsidRDefault="00DD303C" w:rsidP="00DD303C">
            <w:pPr>
              <w:numPr>
                <w:ilvl w:val="0"/>
                <w:numId w:val="1"/>
              </w:numPr>
              <w:rPr>
                <w:sz w:val="24"/>
              </w:rPr>
            </w:pPr>
            <w:r w:rsidRPr="00354B2F">
              <w:rPr>
                <w:bCs/>
                <w:sz w:val="24"/>
              </w:rPr>
              <w:t>Completion of transfer level math and English in first year</w:t>
            </w:r>
            <w:r w:rsidRPr="00354B2F">
              <w:rPr>
                <w:sz w:val="24"/>
              </w:rPr>
              <w:t xml:space="preserve"> </w:t>
            </w:r>
          </w:p>
          <w:p w14:paraId="6B11A5E3" w14:textId="77777777" w:rsidR="00DD303C" w:rsidRDefault="00DD303C" w:rsidP="00DD303C">
            <w:pPr>
              <w:numPr>
                <w:ilvl w:val="0"/>
                <w:numId w:val="1"/>
              </w:numPr>
              <w:rPr>
                <w:sz w:val="24"/>
              </w:rPr>
            </w:pPr>
            <w:r w:rsidRPr="00354B2F">
              <w:rPr>
                <w:sz w:val="24"/>
              </w:rPr>
              <w:t xml:space="preserve">Units to complete a degree </w:t>
            </w:r>
          </w:p>
          <w:p w14:paraId="1F15E902" w14:textId="77777777" w:rsidR="00DD303C" w:rsidRDefault="00DD303C" w:rsidP="00DD303C">
            <w:pPr>
              <w:numPr>
                <w:ilvl w:val="0"/>
                <w:numId w:val="1"/>
              </w:numPr>
              <w:rPr>
                <w:sz w:val="24"/>
              </w:rPr>
            </w:pPr>
            <w:r w:rsidRPr="00354B2F">
              <w:rPr>
                <w:sz w:val="24"/>
              </w:rPr>
              <w:t>Time to complete a degree</w:t>
            </w:r>
          </w:p>
          <w:p w14:paraId="50FE1D1D" w14:textId="2698A8CD" w:rsidR="00DD303C" w:rsidRPr="005E0CA2" w:rsidRDefault="00DD303C" w:rsidP="00DD303C">
            <w:pPr>
              <w:numPr>
                <w:ilvl w:val="0"/>
                <w:numId w:val="1"/>
              </w:numPr>
              <w:tabs>
                <w:tab w:val="clear" w:pos="720"/>
                <w:tab w:val="num" w:pos="450"/>
              </w:tabs>
              <w:ind w:left="360" w:hanging="270"/>
              <w:rPr>
                <w:bCs/>
                <w:sz w:val="24"/>
              </w:rPr>
            </w:pPr>
            <w:r w:rsidRPr="00354B2F">
              <w:rPr>
                <w:sz w:val="24"/>
              </w:rPr>
              <w:t>Completions – Transfer and awards</w:t>
            </w:r>
          </w:p>
        </w:tc>
        <w:tc>
          <w:tcPr>
            <w:tcW w:w="4950" w:type="dxa"/>
          </w:tcPr>
          <w:p w14:paraId="10641F5A" w14:textId="29ED28C9" w:rsidR="00DD303C" w:rsidRDefault="00DD303C" w:rsidP="00DD303C">
            <w:pPr>
              <w:rPr>
                <w:sz w:val="24"/>
              </w:rPr>
            </w:pPr>
            <w:r>
              <w:rPr>
                <w:sz w:val="24"/>
              </w:rPr>
              <w:t>New metrics that are current (semesterly) help colleges understand whether the reorganization is benefitting students.</w:t>
            </w:r>
            <w:r w:rsidR="00CB5911">
              <w:rPr>
                <w:sz w:val="24"/>
              </w:rPr>
              <w:t xml:space="preserve"> </w:t>
            </w:r>
            <w:r>
              <w:rPr>
                <w:sz w:val="24"/>
              </w:rPr>
              <w:t xml:space="preserve">These examples of mileposts or metrics are new and not reported as a usual part of the CCCCO Scorecard. </w:t>
            </w:r>
          </w:p>
          <w:p w14:paraId="25028F09" w14:textId="77777777" w:rsidR="00DD303C" w:rsidRDefault="00DD303C" w:rsidP="00DD303C">
            <w:pPr>
              <w:rPr>
                <w:sz w:val="24"/>
              </w:rPr>
            </w:pPr>
            <w:r>
              <w:rPr>
                <w:sz w:val="24"/>
              </w:rPr>
              <w:t>Would new metrics be considered for the required Accreditation ISS Institution Set Standards?</w:t>
            </w:r>
          </w:p>
          <w:p w14:paraId="3FAFCC15" w14:textId="4283A1A8" w:rsidR="00DD303C" w:rsidRDefault="00DD303C" w:rsidP="00DD303C">
            <w:pPr>
              <w:rPr>
                <w:sz w:val="24"/>
              </w:rPr>
            </w:pPr>
          </w:p>
        </w:tc>
        <w:tc>
          <w:tcPr>
            <w:tcW w:w="3780" w:type="dxa"/>
          </w:tcPr>
          <w:p w14:paraId="563526B5" w14:textId="77777777" w:rsidR="00DD303C" w:rsidRDefault="00DD303C" w:rsidP="00DD303C">
            <w:pPr>
              <w:rPr>
                <w:sz w:val="24"/>
              </w:rPr>
            </w:pPr>
          </w:p>
        </w:tc>
      </w:tr>
      <w:tr w:rsidR="00DD303C" w14:paraId="23748FC6" w14:textId="77777777" w:rsidTr="00CB5911">
        <w:tc>
          <w:tcPr>
            <w:tcW w:w="738" w:type="dxa"/>
          </w:tcPr>
          <w:p w14:paraId="55FE7E45" w14:textId="6B31E4BD" w:rsidR="00DD303C" w:rsidRDefault="00DD303C" w:rsidP="00DD303C">
            <w:pPr>
              <w:rPr>
                <w:sz w:val="24"/>
              </w:rPr>
            </w:pPr>
            <w:r>
              <w:rPr>
                <w:noProof/>
                <w:sz w:val="24"/>
              </w:rPr>
              <w:lastRenderedPageBreak/>
              <w:drawing>
                <wp:inline distT="0" distB="0" distL="0" distR="0" wp14:anchorId="74212177" wp14:editId="360DC758">
                  <wp:extent cx="391048" cy="480882"/>
                  <wp:effectExtent l="0" t="0" r="9525" b="0"/>
                  <wp:docPr id="28" name="Picture 28" descr="C:\Users\Janet\AppData\Local\Microsoft\Windows\INetCache\IE\J38KXPRD\jug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t\AppData\Local\Microsoft\Windows\INetCache\IE\J38KXPRD\juggl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227" cy="484792"/>
                          </a:xfrm>
                          <a:prstGeom prst="rect">
                            <a:avLst/>
                          </a:prstGeom>
                          <a:noFill/>
                          <a:ln>
                            <a:noFill/>
                          </a:ln>
                        </pic:spPr>
                      </pic:pic>
                    </a:graphicData>
                  </a:graphic>
                </wp:inline>
              </w:drawing>
            </w:r>
          </w:p>
        </w:tc>
        <w:tc>
          <w:tcPr>
            <w:tcW w:w="3780" w:type="dxa"/>
            <w:shd w:val="clear" w:color="auto" w:fill="E7E6E6" w:themeFill="background2"/>
          </w:tcPr>
          <w:p w14:paraId="1F3EFD6D" w14:textId="49A55136" w:rsidR="00DD303C" w:rsidRPr="00354B2F" w:rsidRDefault="00DD303C" w:rsidP="00DD303C">
            <w:pPr>
              <w:numPr>
                <w:ilvl w:val="0"/>
                <w:numId w:val="1"/>
              </w:numPr>
              <w:tabs>
                <w:tab w:val="clear" w:pos="720"/>
                <w:tab w:val="num" w:pos="450"/>
              </w:tabs>
              <w:ind w:left="360" w:hanging="270"/>
              <w:rPr>
                <w:rFonts w:cstheme="minorHAnsi"/>
                <w:sz w:val="24"/>
              </w:rPr>
            </w:pPr>
            <w:r>
              <w:rPr>
                <w:b/>
                <w:sz w:val="24"/>
              </w:rPr>
              <w:t xml:space="preserve">Questions/ Considerations for </w:t>
            </w:r>
            <w:r w:rsidRPr="00B3180B">
              <w:rPr>
                <w:b/>
                <w:sz w:val="24"/>
              </w:rPr>
              <w:t xml:space="preserve">developing </w:t>
            </w:r>
            <w:r>
              <w:rPr>
                <w:b/>
                <w:sz w:val="24"/>
              </w:rPr>
              <w:t>Meta-major Guidelines</w:t>
            </w:r>
          </w:p>
        </w:tc>
        <w:tc>
          <w:tcPr>
            <w:tcW w:w="4950" w:type="dxa"/>
            <w:shd w:val="clear" w:color="auto" w:fill="E7E6E6" w:themeFill="background2"/>
          </w:tcPr>
          <w:p w14:paraId="4E8D08B4" w14:textId="66296114" w:rsidR="00DD303C" w:rsidRDefault="00DD303C" w:rsidP="00DD303C">
            <w:pPr>
              <w:rPr>
                <w:sz w:val="24"/>
              </w:rPr>
            </w:pPr>
            <w:r w:rsidRPr="00B3180B">
              <w:rPr>
                <w:b/>
                <w:sz w:val="24"/>
              </w:rPr>
              <w:t>Examples of how this may affect implementation &amp; decision making</w:t>
            </w:r>
          </w:p>
        </w:tc>
        <w:tc>
          <w:tcPr>
            <w:tcW w:w="3780" w:type="dxa"/>
            <w:shd w:val="clear" w:color="auto" w:fill="E7E6E6" w:themeFill="background2"/>
          </w:tcPr>
          <w:p w14:paraId="5C7E1BA6" w14:textId="77777777" w:rsidR="00DD303C" w:rsidRDefault="00DD303C" w:rsidP="00DD303C">
            <w:pPr>
              <w:rPr>
                <w:b/>
                <w:sz w:val="24"/>
              </w:rPr>
            </w:pPr>
            <w:r>
              <w:rPr>
                <w:b/>
                <w:sz w:val="24"/>
              </w:rPr>
              <w:t xml:space="preserve">1. </w:t>
            </w:r>
            <w:r w:rsidRPr="007C7E54">
              <w:rPr>
                <w:b/>
                <w:sz w:val="24"/>
              </w:rPr>
              <w:t xml:space="preserve">Is this question relevant for your college? </w:t>
            </w:r>
          </w:p>
          <w:p w14:paraId="6CF791E8" w14:textId="77777777" w:rsidR="00DD303C" w:rsidRDefault="00DD303C" w:rsidP="00DD303C">
            <w:pPr>
              <w:rPr>
                <w:b/>
                <w:sz w:val="24"/>
              </w:rPr>
            </w:pPr>
            <w:r>
              <w:rPr>
                <w:b/>
                <w:sz w:val="24"/>
              </w:rPr>
              <w:t xml:space="preserve">2. </w:t>
            </w:r>
            <w:r w:rsidRPr="007C7E54">
              <w:rPr>
                <w:b/>
                <w:sz w:val="24"/>
              </w:rPr>
              <w:t xml:space="preserve">Who should attend these discussions? </w:t>
            </w:r>
          </w:p>
          <w:p w14:paraId="1393AD85" w14:textId="70A572FB" w:rsidR="00DD303C" w:rsidRDefault="00DD303C" w:rsidP="00DD303C">
            <w:pPr>
              <w:rPr>
                <w:sz w:val="24"/>
              </w:rPr>
            </w:pPr>
            <w:r>
              <w:rPr>
                <w:b/>
                <w:sz w:val="24"/>
              </w:rPr>
              <w:t xml:space="preserve">3. </w:t>
            </w:r>
            <w:r w:rsidRPr="007C7E54">
              <w:rPr>
                <w:b/>
                <w:sz w:val="24"/>
              </w:rPr>
              <w:t>Who makes the final decision?</w:t>
            </w:r>
          </w:p>
        </w:tc>
      </w:tr>
      <w:tr w:rsidR="00DD303C" w14:paraId="30D49DFA" w14:textId="77777777" w:rsidTr="00CB5911">
        <w:tc>
          <w:tcPr>
            <w:tcW w:w="738" w:type="dxa"/>
            <w:vMerge w:val="restart"/>
            <w:textDirection w:val="btLr"/>
          </w:tcPr>
          <w:p w14:paraId="40D4CE22" w14:textId="00F10F60" w:rsidR="00DD303C" w:rsidRDefault="00DD303C" w:rsidP="00DD303C">
            <w:pPr>
              <w:ind w:left="360" w:right="113"/>
              <w:jc w:val="center"/>
              <w:rPr>
                <w:bCs/>
                <w:sz w:val="24"/>
              </w:rPr>
            </w:pPr>
            <w:r w:rsidRPr="00F31BAB">
              <w:rPr>
                <w:b/>
                <w:bCs/>
                <w:sz w:val="28"/>
              </w:rPr>
              <w:t>Meta-majors and Manageability</w:t>
            </w:r>
          </w:p>
        </w:tc>
        <w:tc>
          <w:tcPr>
            <w:tcW w:w="3780" w:type="dxa"/>
          </w:tcPr>
          <w:p w14:paraId="3EF4C8B7" w14:textId="2066F2B9" w:rsidR="00DD303C" w:rsidRPr="005E0CA2" w:rsidRDefault="00DD303C" w:rsidP="00DD303C">
            <w:pPr>
              <w:numPr>
                <w:ilvl w:val="0"/>
                <w:numId w:val="1"/>
              </w:numPr>
              <w:tabs>
                <w:tab w:val="clear" w:pos="720"/>
                <w:tab w:val="num" w:pos="450"/>
              </w:tabs>
              <w:ind w:left="360" w:hanging="270"/>
              <w:rPr>
                <w:bCs/>
                <w:sz w:val="24"/>
              </w:rPr>
            </w:pPr>
            <w:r w:rsidRPr="00354B2F">
              <w:rPr>
                <w:rFonts w:cstheme="minorHAnsi"/>
                <w:sz w:val="24"/>
              </w:rPr>
              <w:t>Will the groupings consider numbers of students or faculty within each of the declared majors within a meta-major so that they are similar in size; no extra-large and no super small?</w:t>
            </w:r>
          </w:p>
        </w:tc>
        <w:tc>
          <w:tcPr>
            <w:tcW w:w="4950" w:type="dxa"/>
          </w:tcPr>
          <w:p w14:paraId="4FC4F091" w14:textId="287A7435" w:rsidR="00DD303C" w:rsidRDefault="00DD303C" w:rsidP="00DD303C">
            <w:pPr>
              <w:rPr>
                <w:sz w:val="24"/>
              </w:rPr>
            </w:pPr>
            <w:r>
              <w:rPr>
                <w:sz w:val="24"/>
              </w:rPr>
              <w:t>When some meta-majors are very large and others small, the maintenance and data analysis within individual meta-majors becomes more complicated. Also assigning people to these meta-majors for support may inequitably impact certain programs.</w:t>
            </w:r>
          </w:p>
        </w:tc>
        <w:tc>
          <w:tcPr>
            <w:tcW w:w="3780" w:type="dxa"/>
          </w:tcPr>
          <w:p w14:paraId="514DCD95" w14:textId="77777777" w:rsidR="00DD303C" w:rsidRDefault="00DD303C" w:rsidP="00DD303C">
            <w:pPr>
              <w:rPr>
                <w:sz w:val="24"/>
              </w:rPr>
            </w:pPr>
          </w:p>
        </w:tc>
      </w:tr>
      <w:tr w:rsidR="00DD303C" w14:paraId="18B742CC" w14:textId="77777777" w:rsidTr="00CB5911">
        <w:tc>
          <w:tcPr>
            <w:tcW w:w="738" w:type="dxa"/>
            <w:vMerge/>
          </w:tcPr>
          <w:p w14:paraId="41794BD3" w14:textId="0CA89ABE" w:rsidR="00DD303C" w:rsidRDefault="00DD303C" w:rsidP="00DD303C">
            <w:pPr>
              <w:ind w:left="360"/>
              <w:rPr>
                <w:bCs/>
                <w:sz w:val="24"/>
              </w:rPr>
            </w:pPr>
          </w:p>
        </w:tc>
        <w:tc>
          <w:tcPr>
            <w:tcW w:w="3780" w:type="dxa"/>
          </w:tcPr>
          <w:p w14:paraId="655EC3ED" w14:textId="3FD1C833"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Will the organization of meta-majors include, cross over or create new dean positions? Department Chair?</w:t>
            </w:r>
          </w:p>
        </w:tc>
        <w:tc>
          <w:tcPr>
            <w:tcW w:w="4950" w:type="dxa"/>
          </w:tcPr>
          <w:p w14:paraId="7F8F58F9" w14:textId="48848868" w:rsidR="00DD303C" w:rsidRDefault="00DD303C" w:rsidP="00DD303C">
            <w:pPr>
              <w:rPr>
                <w:sz w:val="24"/>
              </w:rPr>
            </w:pPr>
            <w:r>
              <w:rPr>
                <w:sz w:val="24"/>
              </w:rPr>
              <w:t>How will the leadership role for meta-majors be constructed? These leaders must be part of the conversation in the grouping.</w:t>
            </w:r>
          </w:p>
        </w:tc>
        <w:tc>
          <w:tcPr>
            <w:tcW w:w="3780" w:type="dxa"/>
          </w:tcPr>
          <w:p w14:paraId="39554EA8" w14:textId="77777777" w:rsidR="00DD303C" w:rsidRDefault="00DD303C" w:rsidP="00DD303C">
            <w:pPr>
              <w:rPr>
                <w:sz w:val="24"/>
              </w:rPr>
            </w:pPr>
          </w:p>
        </w:tc>
      </w:tr>
      <w:tr w:rsidR="00DD303C" w14:paraId="2BD6201F" w14:textId="77777777" w:rsidTr="00CB5911">
        <w:tc>
          <w:tcPr>
            <w:tcW w:w="738" w:type="dxa"/>
            <w:vMerge/>
          </w:tcPr>
          <w:p w14:paraId="3ADFC003" w14:textId="32B615B2" w:rsidR="00DD303C" w:rsidRDefault="00DD303C" w:rsidP="00DD303C">
            <w:pPr>
              <w:ind w:left="360"/>
              <w:rPr>
                <w:bCs/>
                <w:sz w:val="24"/>
              </w:rPr>
            </w:pPr>
          </w:p>
        </w:tc>
        <w:tc>
          <w:tcPr>
            <w:tcW w:w="3780" w:type="dxa"/>
          </w:tcPr>
          <w:p w14:paraId="34D61446" w14:textId="63E21C31"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What are the responsibilities of the faculty, staff and administrators associated with the meta-major? Are these new or different from prior responsibilities within a discipline, department or division?</w:t>
            </w:r>
          </w:p>
        </w:tc>
        <w:tc>
          <w:tcPr>
            <w:tcW w:w="4950" w:type="dxa"/>
          </w:tcPr>
          <w:p w14:paraId="13D48B76" w14:textId="4642FE15" w:rsidR="00DD303C" w:rsidRDefault="00DD303C" w:rsidP="00DD303C">
            <w:pPr>
              <w:rPr>
                <w:sz w:val="24"/>
              </w:rPr>
            </w:pPr>
            <w:r>
              <w:rPr>
                <w:sz w:val="24"/>
              </w:rPr>
              <w:t>This work cannot be added to the work faculty have done in the past. It must replace work that was not effectively benefitting students. Committee structures, goals</w:t>
            </w:r>
            <w:r w:rsidR="00CB5911">
              <w:rPr>
                <w:sz w:val="24"/>
              </w:rPr>
              <w:t>,</w:t>
            </w:r>
            <w:r>
              <w:rPr>
                <w:sz w:val="24"/>
              </w:rPr>
              <w:t xml:space="preserve"> or purposes may change. Office hours may change in content as discipline advising becomes important. Counseling hours and activities, location and interactions may change.</w:t>
            </w:r>
          </w:p>
        </w:tc>
        <w:tc>
          <w:tcPr>
            <w:tcW w:w="3780" w:type="dxa"/>
          </w:tcPr>
          <w:p w14:paraId="5BF6F306" w14:textId="77777777" w:rsidR="00DD303C" w:rsidRDefault="00DD303C" w:rsidP="00DD303C">
            <w:pPr>
              <w:rPr>
                <w:sz w:val="24"/>
              </w:rPr>
            </w:pPr>
          </w:p>
        </w:tc>
      </w:tr>
      <w:tr w:rsidR="00DD303C" w14:paraId="44624D61" w14:textId="77777777" w:rsidTr="00CB5911">
        <w:trPr>
          <w:cantSplit/>
          <w:trHeight w:val="1956"/>
        </w:trPr>
        <w:tc>
          <w:tcPr>
            <w:tcW w:w="738" w:type="dxa"/>
            <w:textDirection w:val="btLr"/>
          </w:tcPr>
          <w:p w14:paraId="67DFAE4A" w14:textId="5FAF91D1" w:rsidR="00DD303C" w:rsidRPr="00F31BAB" w:rsidRDefault="00DD303C" w:rsidP="00DD303C">
            <w:pPr>
              <w:ind w:left="360" w:right="113"/>
              <w:jc w:val="center"/>
              <w:rPr>
                <w:b/>
                <w:bCs/>
                <w:sz w:val="24"/>
              </w:rPr>
            </w:pPr>
            <w:r w:rsidRPr="00F31BAB">
              <w:rPr>
                <w:rFonts w:cstheme="minorHAnsi"/>
                <w:b/>
                <w:sz w:val="28"/>
              </w:rPr>
              <w:t>Messaging</w:t>
            </w:r>
          </w:p>
        </w:tc>
        <w:tc>
          <w:tcPr>
            <w:tcW w:w="3780" w:type="dxa"/>
          </w:tcPr>
          <w:p w14:paraId="0B2E3B7B" w14:textId="3DEE8037" w:rsidR="00DD303C" w:rsidRPr="005E0CA2" w:rsidRDefault="00DD303C" w:rsidP="00DD303C">
            <w:pPr>
              <w:numPr>
                <w:ilvl w:val="0"/>
                <w:numId w:val="1"/>
              </w:numPr>
              <w:tabs>
                <w:tab w:val="clear" w:pos="720"/>
                <w:tab w:val="num" w:pos="450"/>
              </w:tabs>
              <w:ind w:left="360" w:hanging="270"/>
              <w:rPr>
                <w:bCs/>
                <w:sz w:val="24"/>
              </w:rPr>
            </w:pPr>
            <w:r>
              <w:rPr>
                <w:rFonts w:cstheme="minorHAnsi"/>
                <w:sz w:val="24"/>
              </w:rPr>
              <w:t>What structure will the college use to educate others about the metamajors?</w:t>
            </w:r>
          </w:p>
        </w:tc>
        <w:tc>
          <w:tcPr>
            <w:tcW w:w="4950" w:type="dxa"/>
          </w:tcPr>
          <w:p w14:paraId="07AC950F" w14:textId="01B99234" w:rsidR="00DD303C" w:rsidRDefault="00DD303C" w:rsidP="00DD303C">
            <w:pPr>
              <w:rPr>
                <w:sz w:val="24"/>
              </w:rPr>
            </w:pPr>
            <w:r>
              <w:rPr>
                <w:sz w:val="24"/>
              </w:rPr>
              <w:t>This reorganization must be clearly communicated to the college, students, community and partners if it is to have any effect. Plan early on how to communicate and to get out the iterative nature of this process.</w:t>
            </w:r>
          </w:p>
        </w:tc>
        <w:tc>
          <w:tcPr>
            <w:tcW w:w="3780" w:type="dxa"/>
          </w:tcPr>
          <w:p w14:paraId="02DF1CD8" w14:textId="77777777" w:rsidR="00DD303C" w:rsidRDefault="00DD303C" w:rsidP="00DD303C">
            <w:pPr>
              <w:rPr>
                <w:sz w:val="24"/>
              </w:rPr>
            </w:pPr>
          </w:p>
        </w:tc>
      </w:tr>
    </w:tbl>
    <w:p w14:paraId="621C1B3E" w14:textId="77777777" w:rsidR="00C47096" w:rsidRDefault="00C47096" w:rsidP="00625517">
      <w:pPr>
        <w:rPr>
          <w:rFonts w:cstheme="minorHAnsi"/>
          <w:sz w:val="24"/>
        </w:rPr>
      </w:pPr>
    </w:p>
    <w:sectPr w:rsidR="00C47096" w:rsidSect="00C800EA">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D4604" w14:textId="77777777" w:rsidR="00816CE2" w:rsidRDefault="00816CE2" w:rsidP="00805754">
      <w:pPr>
        <w:spacing w:after="0" w:line="240" w:lineRule="auto"/>
      </w:pPr>
      <w:r>
        <w:separator/>
      </w:r>
    </w:p>
  </w:endnote>
  <w:endnote w:type="continuationSeparator" w:id="0">
    <w:p w14:paraId="68DA135C" w14:textId="77777777" w:rsidR="00816CE2" w:rsidRDefault="00816CE2" w:rsidP="008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08165"/>
      <w:docPartObj>
        <w:docPartGallery w:val="Page Numbers (Bottom of Page)"/>
        <w:docPartUnique/>
      </w:docPartObj>
    </w:sdtPr>
    <w:sdtEndPr>
      <w:rPr>
        <w:noProof/>
      </w:rPr>
    </w:sdtEndPr>
    <w:sdtContent>
      <w:p w14:paraId="0EEAE521" w14:textId="2ECB56B5" w:rsidR="00816CE2" w:rsidRDefault="00816CE2" w:rsidP="001112EC">
        <w:pPr>
          <w:pStyle w:val="Footer"/>
          <w:jc w:val="right"/>
        </w:pPr>
        <w:r>
          <w:t xml:space="preserve">8/28/2018                                                                         ASCCC                                                                                                      </w:t>
        </w:r>
        <w:r>
          <w:fldChar w:fldCharType="begin"/>
        </w:r>
        <w:r>
          <w:instrText xml:space="preserve"> PAGE   \* MERGEFORMAT </w:instrText>
        </w:r>
        <w:r>
          <w:fldChar w:fldCharType="separate"/>
        </w:r>
        <w:r w:rsidR="00897A4B">
          <w:rPr>
            <w:noProof/>
          </w:rPr>
          <w:t>1</w:t>
        </w:r>
        <w:r>
          <w:rPr>
            <w:noProof/>
          </w:rPr>
          <w:fldChar w:fldCharType="end"/>
        </w:r>
      </w:p>
    </w:sdtContent>
  </w:sdt>
  <w:p w14:paraId="6464C933" w14:textId="77777777" w:rsidR="00816CE2" w:rsidRDefault="00816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E0CD6" w14:textId="77777777" w:rsidR="00816CE2" w:rsidRDefault="00816CE2" w:rsidP="00805754">
      <w:pPr>
        <w:spacing w:after="0" w:line="240" w:lineRule="auto"/>
      </w:pPr>
      <w:r>
        <w:separator/>
      </w:r>
    </w:p>
  </w:footnote>
  <w:footnote w:type="continuationSeparator" w:id="0">
    <w:p w14:paraId="7B9BECDE" w14:textId="77777777" w:rsidR="00816CE2" w:rsidRDefault="00816CE2" w:rsidP="0080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AC38" w14:textId="6C3821FB" w:rsidR="00816CE2" w:rsidRDefault="00816CE2" w:rsidP="006D0F4F">
    <w:pPr>
      <w:pStyle w:val="Header"/>
      <w:jc w:val="center"/>
      <w:rPr>
        <w:b/>
        <w:sz w:val="28"/>
      </w:rPr>
    </w:pPr>
    <w:r w:rsidRPr="00816CE2">
      <w:rPr>
        <w:b/>
        <w:noProof/>
        <w:color w:val="000000" w:themeColor="text1"/>
        <w:sz w:val="32"/>
      </w:rPr>
      <w:drawing>
        <wp:inline distT="0" distB="0" distL="0" distR="0" wp14:anchorId="09ECE988" wp14:editId="60C7CE09">
          <wp:extent cx="1133633" cy="409632"/>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133633" cy="409632"/>
                  </a:xfrm>
                  <a:prstGeom prst="rect">
                    <a:avLst/>
                  </a:prstGeom>
                </pic:spPr>
              </pic:pic>
            </a:graphicData>
          </a:graphic>
        </wp:inline>
      </w:drawing>
    </w:r>
    <w:r>
      <w:rPr>
        <w:b/>
        <w:color w:val="000000" w:themeColor="text1"/>
        <w:sz w:val="32"/>
      </w:rPr>
      <w:t xml:space="preserve">    </w:t>
    </w:r>
    <w:r w:rsidRPr="005A256F">
      <w:rPr>
        <w:b/>
        <w:color w:val="000000" w:themeColor="text1"/>
        <w:sz w:val="32"/>
      </w:rPr>
      <w:t>Considerations for Guidelines while Constructing Meta</w:t>
    </w:r>
    <w:r>
      <w:rPr>
        <w:b/>
        <w:color w:val="000000" w:themeColor="text1"/>
        <w:sz w:val="32"/>
      </w:rPr>
      <w:t>-</w:t>
    </w:r>
    <w:r w:rsidRPr="005A256F">
      <w:rPr>
        <w:b/>
        <w:color w:val="000000" w:themeColor="text1"/>
        <w:sz w:val="32"/>
      </w:rPr>
      <w:t>majors</w:t>
    </w:r>
    <w:r>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746D"/>
    <w:multiLevelType w:val="hybridMultilevel"/>
    <w:tmpl w:val="4850A766"/>
    <w:lvl w:ilvl="0" w:tplc="FA3A1696">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E2080C7A">
      <w:start w:val="1"/>
      <w:numFmt w:val="bullet"/>
      <w:lvlText w:val="•"/>
      <w:lvlJc w:val="left"/>
      <w:pPr>
        <w:tabs>
          <w:tab w:val="num" w:pos="2160"/>
        </w:tabs>
        <w:ind w:left="2160" w:hanging="360"/>
      </w:pPr>
      <w:rPr>
        <w:rFonts w:ascii="Arial" w:hAnsi="Arial" w:hint="default"/>
      </w:rPr>
    </w:lvl>
    <w:lvl w:ilvl="3" w:tplc="06403F7E" w:tentative="1">
      <w:start w:val="1"/>
      <w:numFmt w:val="bullet"/>
      <w:lvlText w:val="•"/>
      <w:lvlJc w:val="left"/>
      <w:pPr>
        <w:tabs>
          <w:tab w:val="num" w:pos="2880"/>
        </w:tabs>
        <w:ind w:left="2880" w:hanging="360"/>
      </w:pPr>
      <w:rPr>
        <w:rFonts w:ascii="Arial" w:hAnsi="Arial" w:hint="default"/>
      </w:rPr>
    </w:lvl>
    <w:lvl w:ilvl="4" w:tplc="5A7A79C4" w:tentative="1">
      <w:start w:val="1"/>
      <w:numFmt w:val="bullet"/>
      <w:lvlText w:val="•"/>
      <w:lvlJc w:val="left"/>
      <w:pPr>
        <w:tabs>
          <w:tab w:val="num" w:pos="3600"/>
        </w:tabs>
        <w:ind w:left="3600" w:hanging="360"/>
      </w:pPr>
      <w:rPr>
        <w:rFonts w:ascii="Arial" w:hAnsi="Arial" w:hint="default"/>
      </w:rPr>
    </w:lvl>
    <w:lvl w:ilvl="5" w:tplc="C7860FE2" w:tentative="1">
      <w:start w:val="1"/>
      <w:numFmt w:val="bullet"/>
      <w:lvlText w:val="•"/>
      <w:lvlJc w:val="left"/>
      <w:pPr>
        <w:tabs>
          <w:tab w:val="num" w:pos="4320"/>
        </w:tabs>
        <w:ind w:left="4320" w:hanging="360"/>
      </w:pPr>
      <w:rPr>
        <w:rFonts w:ascii="Arial" w:hAnsi="Arial" w:hint="default"/>
      </w:rPr>
    </w:lvl>
    <w:lvl w:ilvl="6" w:tplc="B49AE868" w:tentative="1">
      <w:start w:val="1"/>
      <w:numFmt w:val="bullet"/>
      <w:lvlText w:val="•"/>
      <w:lvlJc w:val="left"/>
      <w:pPr>
        <w:tabs>
          <w:tab w:val="num" w:pos="5040"/>
        </w:tabs>
        <w:ind w:left="5040" w:hanging="360"/>
      </w:pPr>
      <w:rPr>
        <w:rFonts w:ascii="Arial" w:hAnsi="Arial" w:hint="default"/>
      </w:rPr>
    </w:lvl>
    <w:lvl w:ilvl="7" w:tplc="5A2A9AAC" w:tentative="1">
      <w:start w:val="1"/>
      <w:numFmt w:val="bullet"/>
      <w:lvlText w:val="•"/>
      <w:lvlJc w:val="left"/>
      <w:pPr>
        <w:tabs>
          <w:tab w:val="num" w:pos="5760"/>
        </w:tabs>
        <w:ind w:left="5760" w:hanging="360"/>
      </w:pPr>
      <w:rPr>
        <w:rFonts w:ascii="Arial" w:hAnsi="Arial" w:hint="default"/>
      </w:rPr>
    </w:lvl>
    <w:lvl w:ilvl="8" w:tplc="56F43AAC" w:tentative="1">
      <w:start w:val="1"/>
      <w:numFmt w:val="bullet"/>
      <w:lvlText w:val="•"/>
      <w:lvlJc w:val="left"/>
      <w:pPr>
        <w:tabs>
          <w:tab w:val="num" w:pos="6480"/>
        </w:tabs>
        <w:ind w:left="6480" w:hanging="360"/>
      </w:pPr>
      <w:rPr>
        <w:rFonts w:ascii="Arial" w:hAnsi="Arial" w:hint="default"/>
      </w:rPr>
    </w:lvl>
  </w:abstractNum>
  <w:abstractNum w:abstractNumId="1">
    <w:nsid w:val="2E065112"/>
    <w:multiLevelType w:val="hybridMultilevel"/>
    <w:tmpl w:val="C7082BE0"/>
    <w:lvl w:ilvl="0" w:tplc="8FC85A56">
      <w:start w:val="1"/>
      <w:numFmt w:val="bullet"/>
      <w:lvlText w:val="•"/>
      <w:lvlJc w:val="left"/>
      <w:pPr>
        <w:tabs>
          <w:tab w:val="num" w:pos="720"/>
        </w:tabs>
        <w:ind w:left="720" w:hanging="360"/>
      </w:pPr>
      <w:rPr>
        <w:rFonts w:ascii="Arial" w:hAnsi="Arial" w:hint="default"/>
      </w:rPr>
    </w:lvl>
    <w:lvl w:ilvl="1" w:tplc="FB800FFE" w:tentative="1">
      <w:start w:val="1"/>
      <w:numFmt w:val="bullet"/>
      <w:lvlText w:val="•"/>
      <w:lvlJc w:val="left"/>
      <w:pPr>
        <w:tabs>
          <w:tab w:val="num" w:pos="1440"/>
        </w:tabs>
        <w:ind w:left="1440" w:hanging="360"/>
      </w:pPr>
      <w:rPr>
        <w:rFonts w:ascii="Arial" w:hAnsi="Arial" w:hint="default"/>
      </w:rPr>
    </w:lvl>
    <w:lvl w:ilvl="2" w:tplc="C538A24A" w:tentative="1">
      <w:start w:val="1"/>
      <w:numFmt w:val="bullet"/>
      <w:lvlText w:val="•"/>
      <w:lvlJc w:val="left"/>
      <w:pPr>
        <w:tabs>
          <w:tab w:val="num" w:pos="2160"/>
        </w:tabs>
        <w:ind w:left="2160" w:hanging="360"/>
      </w:pPr>
      <w:rPr>
        <w:rFonts w:ascii="Arial" w:hAnsi="Arial" w:hint="default"/>
      </w:rPr>
    </w:lvl>
    <w:lvl w:ilvl="3" w:tplc="8D0C8FEE" w:tentative="1">
      <w:start w:val="1"/>
      <w:numFmt w:val="bullet"/>
      <w:lvlText w:val="•"/>
      <w:lvlJc w:val="left"/>
      <w:pPr>
        <w:tabs>
          <w:tab w:val="num" w:pos="2880"/>
        </w:tabs>
        <w:ind w:left="2880" w:hanging="360"/>
      </w:pPr>
      <w:rPr>
        <w:rFonts w:ascii="Arial" w:hAnsi="Arial" w:hint="default"/>
      </w:rPr>
    </w:lvl>
    <w:lvl w:ilvl="4" w:tplc="24DEC440" w:tentative="1">
      <w:start w:val="1"/>
      <w:numFmt w:val="bullet"/>
      <w:lvlText w:val="•"/>
      <w:lvlJc w:val="left"/>
      <w:pPr>
        <w:tabs>
          <w:tab w:val="num" w:pos="3600"/>
        </w:tabs>
        <w:ind w:left="3600" w:hanging="360"/>
      </w:pPr>
      <w:rPr>
        <w:rFonts w:ascii="Arial" w:hAnsi="Arial" w:hint="default"/>
      </w:rPr>
    </w:lvl>
    <w:lvl w:ilvl="5" w:tplc="729646AE" w:tentative="1">
      <w:start w:val="1"/>
      <w:numFmt w:val="bullet"/>
      <w:lvlText w:val="•"/>
      <w:lvlJc w:val="left"/>
      <w:pPr>
        <w:tabs>
          <w:tab w:val="num" w:pos="4320"/>
        </w:tabs>
        <w:ind w:left="4320" w:hanging="360"/>
      </w:pPr>
      <w:rPr>
        <w:rFonts w:ascii="Arial" w:hAnsi="Arial" w:hint="default"/>
      </w:rPr>
    </w:lvl>
    <w:lvl w:ilvl="6" w:tplc="CDF00160" w:tentative="1">
      <w:start w:val="1"/>
      <w:numFmt w:val="bullet"/>
      <w:lvlText w:val="•"/>
      <w:lvlJc w:val="left"/>
      <w:pPr>
        <w:tabs>
          <w:tab w:val="num" w:pos="5040"/>
        </w:tabs>
        <w:ind w:left="5040" w:hanging="360"/>
      </w:pPr>
      <w:rPr>
        <w:rFonts w:ascii="Arial" w:hAnsi="Arial" w:hint="default"/>
      </w:rPr>
    </w:lvl>
    <w:lvl w:ilvl="7" w:tplc="FC365D86" w:tentative="1">
      <w:start w:val="1"/>
      <w:numFmt w:val="bullet"/>
      <w:lvlText w:val="•"/>
      <w:lvlJc w:val="left"/>
      <w:pPr>
        <w:tabs>
          <w:tab w:val="num" w:pos="5760"/>
        </w:tabs>
        <w:ind w:left="5760" w:hanging="360"/>
      </w:pPr>
      <w:rPr>
        <w:rFonts w:ascii="Arial" w:hAnsi="Arial" w:hint="default"/>
      </w:rPr>
    </w:lvl>
    <w:lvl w:ilvl="8" w:tplc="649AE6C0" w:tentative="1">
      <w:start w:val="1"/>
      <w:numFmt w:val="bullet"/>
      <w:lvlText w:val="•"/>
      <w:lvlJc w:val="left"/>
      <w:pPr>
        <w:tabs>
          <w:tab w:val="num" w:pos="6480"/>
        </w:tabs>
        <w:ind w:left="6480" w:hanging="360"/>
      </w:pPr>
      <w:rPr>
        <w:rFonts w:ascii="Arial" w:hAnsi="Arial" w:hint="default"/>
      </w:rPr>
    </w:lvl>
  </w:abstractNum>
  <w:abstractNum w:abstractNumId="2">
    <w:nsid w:val="2EF47E86"/>
    <w:multiLevelType w:val="hybridMultilevel"/>
    <w:tmpl w:val="64F0A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1E4958"/>
    <w:multiLevelType w:val="hybridMultilevel"/>
    <w:tmpl w:val="06EE25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C5735E"/>
    <w:multiLevelType w:val="hybridMultilevel"/>
    <w:tmpl w:val="B2C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B75B1"/>
    <w:multiLevelType w:val="hybridMultilevel"/>
    <w:tmpl w:val="93628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23877"/>
    <w:multiLevelType w:val="hybridMultilevel"/>
    <w:tmpl w:val="EC1A3B04"/>
    <w:lvl w:ilvl="0" w:tplc="52BC8F1C">
      <w:start w:val="1"/>
      <w:numFmt w:val="bullet"/>
      <w:lvlText w:val="•"/>
      <w:lvlJc w:val="left"/>
      <w:pPr>
        <w:tabs>
          <w:tab w:val="num" w:pos="720"/>
        </w:tabs>
        <w:ind w:left="720" w:hanging="360"/>
      </w:pPr>
      <w:rPr>
        <w:rFonts w:ascii="Arial" w:hAnsi="Arial" w:hint="default"/>
      </w:rPr>
    </w:lvl>
    <w:lvl w:ilvl="1" w:tplc="B336B91E" w:tentative="1">
      <w:start w:val="1"/>
      <w:numFmt w:val="bullet"/>
      <w:lvlText w:val="•"/>
      <w:lvlJc w:val="left"/>
      <w:pPr>
        <w:tabs>
          <w:tab w:val="num" w:pos="1440"/>
        </w:tabs>
        <w:ind w:left="1440" w:hanging="360"/>
      </w:pPr>
      <w:rPr>
        <w:rFonts w:ascii="Arial" w:hAnsi="Arial" w:hint="default"/>
      </w:rPr>
    </w:lvl>
    <w:lvl w:ilvl="2" w:tplc="4DCE58E0" w:tentative="1">
      <w:start w:val="1"/>
      <w:numFmt w:val="bullet"/>
      <w:lvlText w:val="•"/>
      <w:lvlJc w:val="left"/>
      <w:pPr>
        <w:tabs>
          <w:tab w:val="num" w:pos="2160"/>
        </w:tabs>
        <w:ind w:left="2160" w:hanging="360"/>
      </w:pPr>
      <w:rPr>
        <w:rFonts w:ascii="Arial" w:hAnsi="Arial" w:hint="default"/>
      </w:rPr>
    </w:lvl>
    <w:lvl w:ilvl="3" w:tplc="FFAC163C" w:tentative="1">
      <w:start w:val="1"/>
      <w:numFmt w:val="bullet"/>
      <w:lvlText w:val="•"/>
      <w:lvlJc w:val="left"/>
      <w:pPr>
        <w:tabs>
          <w:tab w:val="num" w:pos="2880"/>
        </w:tabs>
        <w:ind w:left="2880" w:hanging="360"/>
      </w:pPr>
      <w:rPr>
        <w:rFonts w:ascii="Arial" w:hAnsi="Arial" w:hint="default"/>
      </w:rPr>
    </w:lvl>
    <w:lvl w:ilvl="4" w:tplc="66DA1DC4" w:tentative="1">
      <w:start w:val="1"/>
      <w:numFmt w:val="bullet"/>
      <w:lvlText w:val="•"/>
      <w:lvlJc w:val="left"/>
      <w:pPr>
        <w:tabs>
          <w:tab w:val="num" w:pos="3600"/>
        </w:tabs>
        <w:ind w:left="3600" w:hanging="360"/>
      </w:pPr>
      <w:rPr>
        <w:rFonts w:ascii="Arial" w:hAnsi="Arial" w:hint="default"/>
      </w:rPr>
    </w:lvl>
    <w:lvl w:ilvl="5" w:tplc="5978BB60" w:tentative="1">
      <w:start w:val="1"/>
      <w:numFmt w:val="bullet"/>
      <w:lvlText w:val="•"/>
      <w:lvlJc w:val="left"/>
      <w:pPr>
        <w:tabs>
          <w:tab w:val="num" w:pos="4320"/>
        </w:tabs>
        <w:ind w:left="4320" w:hanging="360"/>
      </w:pPr>
      <w:rPr>
        <w:rFonts w:ascii="Arial" w:hAnsi="Arial" w:hint="default"/>
      </w:rPr>
    </w:lvl>
    <w:lvl w:ilvl="6" w:tplc="E53258AC" w:tentative="1">
      <w:start w:val="1"/>
      <w:numFmt w:val="bullet"/>
      <w:lvlText w:val="•"/>
      <w:lvlJc w:val="left"/>
      <w:pPr>
        <w:tabs>
          <w:tab w:val="num" w:pos="5040"/>
        </w:tabs>
        <w:ind w:left="5040" w:hanging="360"/>
      </w:pPr>
      <w:rPr>
        <w:rFonts w:ascii="Arial" w:hAnsi="Arial" w:hint="default"/>
      </w:rPr>
    </w:lvl>
    <w:lvl w:ilvl="7" w:tplc="3CBEB1C6" w:tentative="1">
      <w:start w:val="1"/>
      <w:numFmt w:val="bullet"/>
      <w:lvlText w:val="•"/>
      <w:lvlJc w:val="left"/>
      <w:pPr>
        <w:tabs>
          <w:tab w:val="num" w:pos="5760"/>
        </w:tabs>
        <w:ind w:left="5760" w:hanging="360"/>
      </w:pPr>
      <w:rPr>
        <w:rFonts w:ascii="Arial" w:hAnsi="Arial" w:hint="default"/>
      </w:rPr>
    </w:lvl>
    <w:lvl w:ilvl="8" w:tplc="82B4B7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A"/>
    <w:rsid w:val="00002EBB"/>
    <w:rsid w:val="00016A38"/>
    <w:rsid w:val="0003322D"/>
    <w:rsid w:val="00064AE6"/>
    <w:rsid w:val="000C7643"/>
    <w:rsid w:val="000F53C7"/>
    <w:rsid w:val="001112EC"/>
    <w:rsid w:val="00150EB9"/>
    <w:rsid w:val="0016060A"/>
    <w:rsid w:val="00162887"/>
    <w:rsid w:val="001929A3"/>
    <w:rsid w:val="001B0C63"/>
    <w:rsid w:val="001D45E4"/>
    <w:rsid w:val="0020114A"/>
    <w:rsid w:val="00230783"/>
    <w:rsid w:val="002F2266"/>
    <w:rsid w:val="003A5763"/>
    <w:rsid w:val="003E38C5"/>
    <w:rsid w:val="004043FB"/>
    <w:rsid w:val="00487E34"/>
    <w:rsid w:val="004930FD"/>
    <w:rsid w:val="00564FE8"/>
    <w:rsid w:val="005A256F"/>
    <w:rsid w:val="005D18AE"/>
    <w:rsid w:val="0060695A"/>
    <w:rsid w:val="00625517"/>
    <w:rsid w:val="006C6FCE"/>
    <w:rsid w:val="006D0F4F"/>
    <w:rsid w:val="006E467C"/>
    <w:rsid w:val="00712966"/>
    <w:rsid w:val="0072752D"/>
    <w:rsid w:val="00742C5E"/>
    <w:rsid w:val="007A7BFF"/>
    <w:rsid w:val="007C7E54"/>
    <w:rsid w:val="007F196D"/>
    <w:rsid w:val="00805754"/>
    <w:rsid w:val="00816CE2"/>
    <w:rsid w:val="00823F2F"/>
    <w:rsid w:val="008504EC"/>
    <w:rsid w:val="00882DA6"/>
    <w:rsid w:val="00897A4B"/>
    <w:rsid w:val="009075B9"/>
    <w:rsid w:val="00926232"/>
    <w:rsid w:val="009C2452"/>
    <w:rsid w:val="00A2125E"/>
    <w:rsid w:val="00A3314B"/>
    <w:rsid w:val="00A44444"/>
    <w:rsid w:val="00A73202"/>
    <w:rsid w:val="00A7602B"/>
    <w:rsid w:val="00AC1E7B"/>
    <w:rsid w:val="00B3180B"/>
    <w:rsid w:val="00B443A3"/>
    <w:rsid w:val="00BD666C"/>
    <w:rsid w:val="00BF7EB5"/>
    <w:rsid w:val="00C0031E"/>
    <w:rsid w:val="00C47096"/>
    <w:rsid w:val="00C800EA"/>
    <w:rsid w:val="00CB5911"/>
    <w:rsid w:val="00CC050B"/>
    <w:rsid w:val="00CC3940"/>
    <w:rsid w:val="00D307E7"/>
    <w:rsid w:val="00D317C1"/>
    <w:rsid w:val="00D432BC"/>
    <w:rsid w:val="00D51951"/>
    <w:rsid w:val="00D64A13"/>
    <w:rsid w:val="00D821AF"/>
    <w:rsid w:val="00D956D7"/>
    <w:rsid w:val="00DD303C"/>
    <w:rsid w:val="00DE5496"/>
    <w:rsid w:val="00DE680A"/>
    <w:rsid w:val="00E629D7"/>
    <w:rsid w:val="00EF6EEE"/>
    <w:rsid w:val="00F041E8"/>
    <w:rsid w:val="00F31BAB"/>
    <w:rsid w:val="00F6206D"/>
    <w:rsid w:val="00F919C9"/>
    <w:rsid w:val="00FA570B"/>
    <w:rsid w:val="00FC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66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9314">
      <w:bodyDiv w:val="1"/>
      <w:marLeft w:val="0"/>
      <w:marRight w:val="0"/>
      <w:marTop w:val="0"/>
      <w:marBottom w:val="0"/>
      <w:divBdr>
        <w:top w:val="none" w:sz="0" w:space="0" w:color="auto"/>
        <w:left w:val="none" w:sz="0" w:space="0" w:color="auto"/>
        <w:bottom w:val="none" w:sz="0" w:space="0" w:color="auto"/>
        <w:right w:val="none" w:sz="0" w:space="0" w:color="auto"/>
      </w:divBdr>
      <w:divsChild>
        <w:div w:id="361442615">
          <w:marLeft w:val="288"/>
          <w:marRight w:val="0"/>
          <w:marTop w:val="115"/>
          <w:marBottom w:val="0"/>
          <w:divBdr>
            <w:top w:val="none" w:sz="0" w:space="0" w:color="auto"/>
            <w:left w:val="none" w:sz="0" w:space="0" w:color="auto"/>
            <w:bottom w:val="none" w:sz="0" w:space="0" w:color="auto"/>
            <w:right w:val="none" w:sz="0" w:space="0" w:color="auto"/>
          </w:divBdr>
        </w:div>
        <w:div w:id="1608394138">
          <w:marLeft w:val="288"/>
          <w:marRight w:val="0"/>
          <w:marTop w:val="115"/>
          <w:marBottom w:val="0"/>
          <w:divBdr>
            <w:top w:val="none" w:sz="0" w:space="0" w:color="auto"/>
            <w:left w:val="none" w:sz="0" w:space="0" w:color="auto"/>
            <w:bottom w:val="none" w:sz="0" w:space="0" w:color="auto"/>
            <w:right w:val="none" w:sz="0" w:space="0" w:color="auto"/>
          </w:divBdr>
        </w:div>
      </w:divsChild>
    </w:div>
    <w:div w:id="489560224">
      <w:bodyDiv w:val="1"/>
      <w:marLeft w:val="0"/>
      <w:marRight w:val="0"/>
      <w:marTop w:val="0"/>
      <w:marBottom w:val="0"/>
      <w:divBdr>
        <w:top w:val="none" w:sz="0" w:space="0" w:color="auto"/>
        <w:left w:val="none" w:sz="0" w:space="0" w:color="auto"/>
        <w:bottom w:val="none" w:sz="0" w:space="0" w:color="auto"/>
        <w:right w:val="none" w:sz="0" w:space="0" w:color="auto"/>
      </w:divBdr>
    </w:div>
    <w:div w:id="1977296130">
      <w:bodyDiv w:val="1"/>
      <w:marLeft w:val="0"/>
      <w:marRight w:val="0"/>
      <w:marTop w:val="0"/>
      <w:marBottom w:val="0"/>
      <w:divBdr>
        <w:top w:val="none" w:sz="0" w:space="0" w:color="auto"/>
        <w:left w:val="none" w:sz="0" w:space="0" w:color="auto"/>
        <w:bottom w:val="none" w:sz="0" w:space="0" w:color="auto"/>
        <w:right w:val="none" w:sz="0" w:space="0" w:color="auto"/>
      </w:divBdr>
      <w:divsChild>
        <w:div w:id="68564403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D1083-D543-4D5B-8C1E-ECC91107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Fulks</dc:creator>
  <cp:lastModifiedBy>Janet</cp:lastModifiedBy>
  <cp:revision>3</cp:revision>
  <cp:lastPrinted>2018-09-08T19:41:00Z</cp:lastPrinted>
  <dcterms:created xsi:type="dcterms:W3CDTF">2018-09-08T19:40:00Z</dcterms:created>
  <dcterms:modified xsi:type="dcterms:W3CDTF">2018-09-08T19:42:00Z</dcterms:modified>
</cp:coreProperties>
</file>