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1F4A" w14:textId="77777777" w:rsidR="00D03B27" w:rsidRDefault="00D03B27" w:rsidP="00C47096">
      <w:pPr>
        <w:rPr>
          <w:sz w:val="24"/>
        </w:rPr>
      </w:pPr>
    </w:p>
    <w:p w14:paraId="720F0543" w14:textId="4549E210" w:rsidR="00D03B27" w:rsidRDefault="006D0F4F" w:rsidP="00C47096">
      <w:pPr>
        <w:rPr>
          <w:sz w:val="24"/>
        </w:rPr>
      </w:pPr>
      <w:r w:rsidRPr="006D0F4F">
        <w:rPr>
          <w:sz w:val="24"/>
        </w:rPr>
        <w:t xml:space="preserve">This document is a collection of various </w:t>
      </w:r>
      <w:r w:rsidR="00F919C9">
        <w:rPr>
          <w:sz w:val="24"/>
        </w:rPr>
        <w:t>considerations</w:t>
      </w:r>
      <w:r w:rsidRPr="006D0F4F">
        <w:rPr>
          <w:sz w:val="24"/>
        </w:rPr>
        <w:t xml:space="preserve"> colleges have used to guide their </w:t>
      </w:r>
      <w:r w:rsidR="007C07C2">
        <w:rPr>
          <w:sz w:val="24"/>
        </w:rPr>
        <w:t>mapping of programs</w:t>
      </w:r>
      <w:r w:rsidRPr="006D0F4F">
        <w:rPr>
          <w:sz w:val="24"/>
        </w:rPr>
        <w:t>. No college has used all of these, but rather a combination that suited their ability to move forward consistent with their college mission</w:t>
      </w:r>
      <w:r w:rsidR="006B24AE">
        <w:rPr>
          <w:sz w:val="24"/>
        </w:rPr>
        <w:t>,</w:t>
      </w:r>
      <w:r w:rsidRPr="006D0F4F">
        <w:rPr>
          <w:sz w:val="24"/>
        </w:rPr>
        <w:t xml:space="preserve"> vision</w:t>
      </w:r>
      <w:r w:rsidR="006B24AE">
        <w:rPr>
          <w:sz w:val="24"/>
        </w:rPr>
        <w:t>,</w:t>
      </w:r>
      <w:r w:rsidRPr="006D0F4F">
        <w:rPr>
          <w:sz w:val="24"/>
        </w:rPr>
        <w:t xml:space="preserve"> and values, while providing assurances of iterative review and data analysis </w:t>
      </w:r>
      <w:r w:rsidR="006B24AE">
        <w:rPr>
          <w:sz w:val="24"/>
        </w:rPr>
        <w:t>in implementing a guided pathways t</w:t>
      </w:r>
      <w:r w:rsidRPr="006D0F4F">
        <w:rPr>
          <w:sz w:val="24"/>
        </w:rPr>
        <w:t>ransformation.</w:t>
      </w:r>
      <w:r w:rsidR="00C47096" w:rsidRPr="00C47096">
        <w:rPr>
          <w:sz w:val="24"/>
        </w:rPr>
        <w:t xml:space="preserve"> </w:t>
      </w:r>
      <w:r w:rsidR="007C07C2">
        <w:rPr>
          <w:sz w:val="24"/>
        </w:rPr>
        <w:t>I</w:t>
      </w:r>
      <w:r w:rsidR="006B24AE">
        <w:rPr>
          <w:sz w:val="24"/>
        </w:rPr>
        <w:t xml:space="preserve">t is </w:t>
      </w:r>
      <w:r w:rsidR="00F15595">
        <w:rPr>
          <w:sz w:val="24"/>
        </w:rPr>
        <w:t>helpful to determine</w:t>
      </w:r>
      <w:r w:rsidR="00C47096">
        <w:rPr>
          <w:sz w:val="24"/>
        </w:rPr>
        <w:t xml:space="preserve"> what you hope </w:t>
      </w:r>
      <w:r w:rsidR="007C07C2">
        <w:rPr>
          <w:sz w:val="24"/>
        </w:rPr>
        <w:t>program maps</w:t>
      </w:r>
      <w:r w:rsidR="00C47096">
        <w:rPr>
          <w:sz w:val="24"/>
        </w:rPr>
        <w:t xml:space="preserve"> will do for your c</w:t>
      </w:r>
      <w:r w:rsidR="00F15595">
        <w:rPr>
          <w:sz w:val="24"/>
        </w:rPr>
        <w:t>ollege and your students. C</w:t>
      </w:r>
      <w:r w:rsidR="00C47096">
        <w:rPr>
          <w:sz w:val="24"/>
        </w:rPr>
        <w:t xml:space="preserve">onsider </w:t>
      </w:r>
      <w:r w:rsidR="00F15595">
        <w:rPr>
          <w:sz w:val="24"/>
        </w:rPr>
        <w:t xml:space="preserve">and respond to </w:t>
      </w:r>
      <w:r w:rsidR="00C47096">
        <w:rPr>
          <w:sz w:val="24"/>
        </w:rPr>
        <w:t xml:space="preserve">the following questions </w:t>
      </w:r>
      <w:r w:rsidR="00F15595">
        <w:rPr>
          <w:sz w:val="24"/>
        </w:rPr>
        <w:t>to</w:t>
      </w:r>
      <w:r w:rsidR="00C47096">
        <w:rPr>
          <w:sz w:val="24"/>
        </w:rPr>
        <w:t xml:space="preserve"> create guidelines for </w:t>
      </w:r>
      <w:r w:rsidR="00F919C9">
        <w:rPr>
          <w:sz w:val="24"/>
        </w:rPr>
        <w:t xml:space="preserve">the process of </w:t>
      </w:r>
      <w:r w:rsidR="007C07C2">
        <w:rPr>
          <w:sz w:val="24"/>
        </w:rPr>
        <w:t>mapping programs</w:t>
      </w:r>
      <w:r w:rsidR="00F15595">
        <w:rPr>
          <w:sz w:val="24"/>
        </w:rPr>
        <w:t xml:space="preserve"> at your college</w:t>
      </w:r>
      <w:r w:rsidR="00F919C9">
        <w:rPr>
          <w:sz w:val="24"/>
        </w:rPr>
        <w:t xml:space="preserve">. </w:t>
      </w:r>
    </w:p>
    <w:tbl>
      <w:tblPr>
        <w:tblStyle w:val="TableGrid"/>
        <w:tblW w:w="0" w:type="auto"/>
        <w:tblLook w:val="04A0" w:firstRow="1" w:lastRow="0" w:firstColumn="1" w:lastColumn="0" w:noHBand="0" w:noVBand="1"/>
      </w:tblPr>
      <w:tblGrid>
        <w:gridCol w:w="3708"/>
        <w:gridCol w:w="4860"/>
        <w:gridCol w:w="4608"/>
      </w:tblGrid>
      <w:tr w:rsidR="00740A76" w14:paraId="0140A147" w14:textId="77777777" w:rsidTr="00740A76">
        <w:trPr>
          <w:tblHeader/>
        </w:trPr>
        <w:tc>
          <w:tcPr>
            <w:tcW w:w="3708" w:type="dxa"/>
            <w:shd w:val="clear" w:color="auto" w:fill="E7E6E6" w:themeFill="background2"/>
          </w:tcPr>
          <w:p w14:paraId="629D77AD" w14:textId="77777777" w:rsidR="00740A76" w:rsidRDefault="00740A76" w:rsidP="00740A76">
            <w:pPr>
              <w:rPr>
                <w:b/>
                <w:sz w:val="28"/>
              </w:rPr>
            </w:pPr>
            <w:r>
              <w:rPr>
                <w:b/>
                <w:sz w:val="24"/>
              </w:rPr>
              <w:t xml:space="preserve">Questions/ Considerations for </w:t>
            </w:r>
            <w:r w:rsidRPr="00B3180B">
              <w:rPr>
                <w:b/>
                <w:sz w:val="24"/>
              </w:rPr>
              <w:t>developing</w:t>
            </w:r>
          </w:p>
        </w:tc>
        <w:tc>
          <w:tcPr>
            <w:tcW w:w="4860" w:type="dxa"/>
            <w:shd w:val="clear" w:color="auto" w:fill="E7E6E6" w:themeFill="background2"/>
          </w:tcPr>
          <w:p w14:paraId="4E051C10" w14:textId="77777777" w:rsidR="00740A76" w:rsidRDefault="00740A76" w:rsidP="00740A76">
            <w:pPr>
              <w:rPr>
                <w:sz w:val="24"/>
              </w:rPr>
            </w:pPr>
            <w:r w:rsidRPr="00B3180B">
              <w:rPr>
                <w:b/>
                <w:sz w:val="24"/>
              </w:rPr>
              <w:t>Examples of how this may affect implementation &amp; decision making</w:t>
            </w:r>
          </w:p>
        </w:tc>
        <w:tc>
          <w:tcPr>
            <w:tcW w:w="4608" w:type="dxa"/>
            <w:shd w:val="clear" w:color="auto" w:fill="E7E6E6" w:themeFill="background2"/>
          </w:tcPr>
          <w:p w14:paraId="35126116" w14:textId="77777777" w:rsidR="00740A76" w:rsidRDefault="00740A76" w:rsidP="00740A76">
            <w:pPr>
              <w:rPr>
                <w:b/>
                <w:sz w:val="24"/>
              </w:rPr>
            </w:pPr>
            <w:r>
              <w:rPr>
                <w:b/>
                <w:sz w:val="24"/>
              </w:rPr>
              <w:t xml:space="preserve">1. </w:t>
            </w:r>
            <w:r w:rsidRPr="007C7E54">
              <w:rPr>
                <w:b/>
                <w:sz w:val="24"/>
              </w:rPr>
              <w:t xml:space="preserve">Is this question relevant for your college? </w:t>
            </w:r>
          </w:p>
          <w:p w14:paraId="1D236994" w14:textId="77777777" w:rsidR="00740A76" w:rsidRDefault="00740A76" w:rsidP="00740A76">
            <w:pPr>
              <w:rPr>
                <w:b/>
                <w:sz w:val="24"/>
              </w:rPr>
            </w:pPr>
            <w:r>
              <w:rPr>
                <w:b/>
                <w:sz w:val="24"/>
              </w:rPr>
              <w:t xml:space="preserve">2. </w:t>
            </w:r>
            <w:r w:rsidRPr="007C7E54">
              <w:rPr>
                <w:b/>
                <w:sz w:val="24"/>
              </w:rPr>
              <w:t xml:space="preserve">Who should attend these discussions? </w:t>
            </w:r>
          </w:p>
          <w:p w14:paraId="72960B69" w14:textId="77777777" w:rsidR="00740A76" w:rsidRDefault="00740A76" w:rsidP="00740A76">
            <w:pPr>
              <w:rPr>
                <w:sz w:val="24"/>
              </w:rPr>
            </w:pPr>
            <w:r>
              <w:rPr>
                <w:b/>
                <w:sz w:val="24"/>
              </w:rPr>
              <w:t xml:space="preserve">3. </w:t>
            </w:r>
            <w:r w:rsidRPr="007C7E54">
              <w:rPr>
                <w:b/>
                <w:sz w:val="24"/>
              </w:rPr>
              <w:t>Who makes the final decision?</w:t>
            </w:r>
          </w:p>
        </w:tc>
      </w:tr>
      <w:tr w:rsidR="00740A76" w14:paraId="238ED957" w14:textId="77777777" w:rsidTr="00740A76">
        <w:tc>
          <w:tcPr>
            <w:tcW w:w="3708" w:type="dxa"/>
          </w:tcPr>
          <w:p w14:paraId="2777C416" w14:textId="77777777" w:rsidR="00740A76" w:rsidRPr="005E0CA2" w:rsidRDefault="00740A76" w:rsidP="00452297">
            <w:pPr>
              <w:numPr>
                <w:ilvl w:val="0"/>
                <w:numId w:val="1"/>
              </w:numPr>
              <w:tabs>
                <w:tab w:val="clear" w:pos="720"/>
                <w:tab w:val="num" w:pos="450"/>
              </w:tabs>
              <w:ind w:left="360" w:hanging="270"/>
              <w:rPr>
                <w:sz w:val="24"/>
              </w:rPr>
            </w:pPr>
            <w:r>
              <w:rPr>
                <w:sz w:val="24"/>
              </w:rPr>
              <w:t>Will g</w:t>
            </w:r>
            <w:r w:rsidRPr="005E0CA2">
              <w:rPr>
                <w:sz w:val="24"/>
              </w:rPr>
              <w:t xml:space="preserve">eneral education </w:t>
            </w:r>
            <w:r>
              <w:rPr>
                <w:sz w:val="24"/>
              </w:rPr>
              <w:t>be</w:t>
            </w:r>
            <w:r w:rsidRPr="005E0CA2">
              <w:rPr>
                <w:sz w:val="24"/>
              </w:rPr>
              <w:t xml:space="preserve"> considered </w:t>
            </w:r>
            <w:r>
              <w:rPr>
                <w:sz w:val="24"/>
              </w:rPr>
              <w:t>while mapping programs?</w:t>
            </w:r>
          </w:p>
        </w:tc>
        <w:tc>
          <w:tcPr>
            <w:tcW w:w="4860" w:type="dxa"/>
          </w:tcPr>
          <w:p w14:paraId="38AA48AD" w14:textId="77777777" w:rsidR="00740A76" w:rsidRPr="001B0C63" w:rsidRDefault="00740A76" w:rsidP="00487E34">
            <w:pPr>
              <w:rPr>
                <w:sz w:val="24"/>
              </w:rPr>
            </w:pPr>
            <w:r>
              <w:rPr>
                <w:sz w:val="24"/>
              </w:rPr>
              <w:t>60-75% of any program may be general education courses. Are the courses selected or completely open with no advice or identified with regards to beneficial GE for employment or transfer within fields or a combination of recommended but not required?</w:t>
            </w:r>
          </w:p>
        </w:tc>
        <w:tc>
          <w:tcPr>
            <w:tcW w:w="4608" w:type="dxa"/>
          </w:tcPr>
          <w:p w14:paraId="77B2DB2A" w14:textId="77777777" w:rsidR="00740A76" w:rsidRDefault="00740A76" w:rsidP="00487E34">
            <w:pPr>
              <w:rPr>
                <w:sz w:val="24"/>
              </w:rPr>
            </w:pPr>
          </w:p>
        </w:tc>
      </w:tr>
      <w:tr w:rsidR="00740A76" w14:paraId="582D847F" w14:textId="77777777" w:rsidTr="00740A76">
        <w:tc>
          <w:tcPr>
            <w:tcW w:w="3708" w:type="dxa"/>
          </w:tcPr>
          <w:p w14:paraId="3A34947B" w14:textId="77777777" w:rsidR="00740A76" w:rsidRPr="005E0CA2" w:rsidRDefault="00740A76" w:rsidP="00452297">
            <w:pPr>
              <w:numPr>
                <w:ilvl w:val="0"/>
                <w:numId w:val="1"/>
              </w:numPr>
              <w:tabs>
                <w:tab w:val="clear" w:pos="720"/>
                <w:tab w:val="num" w:pos="450"/>
              </w:tabs>
              <w:ind w:left="360" w:hanging="270"/>
              <w:rPr>
                <w:sz w:val="24"/>
              </w:rPr>
            </w:pPr>
            <w:r w:rsidRPr="005E0CA2">
              <w:rPr>
                <w:sz w:val="24"/>
              </w:rPr>
              <w:t xml:space="preserve">What is the cycle or calendar to assure </w:t>
            </w:r>
            <w:r>
              <w:rPr>
                <w:sz w:val="24"/>
              </w:rPr>
              <w:t>programs are</w:t>
            </w:r>
            <w:r w:rsidRPr="005E0CA2">
              <w:rPr>
                <w:sz w:val="24"/>
              </w:rPr>
              <w:t xml:space="preserve"> reviewed and iterative?</w:t>
            </w:r>
          </w:p>
        </w:tc>
        <w:tc>
          <w:tcPr>
            <w:tcW w:w="4860" w:type="dxa"/>
          </w:tcPr>
          <w:p w14:paraId="0E30FD2A" w14:textId="0CF205A5" w:rsidR="00740A76" w:rsidRPr="001B0C63" w:rsidRDefault="00740A76" w:rsidP="00740A76">
            <w:pPr>
              <w:rPr>
                <w:sz w:val="24"/>
              </w:rPr>
            </w:pPr>
            <w:r>
              <w:rPr>
                <w:sz w:val="24"/>
              </w:rPr>
              <w:t xml:space="preserve">Colleges that </w:t>
            </w:r>
            <w:r w:rsidR="00F07489">
              <w:rPr>
                <w:sz w:val="24"/>
              </w:rPr>
              <w:t xml:space="preserve">complete </w:t>
            </w:r>
            <w:r>
              <w:rPr>
                <w:sz w:val="24"/>
              </w:rPr>
              <w:t>regular and substantive program review create more sustainable change and improvement.</w:t>
            </w:r>
          </w:p>
        </w:tc>
        <w:tc>
          <w:tcPr>
            <w:tcW w:w="4608" w:type="dxa"/>
          </w:tcPr>
          <w:p w14:paraId="086CFCDE" w14:textId="77777777" w:rsidR="00740A76" w:rsidRDefault="00740A76" w:rsidP="007C07C2">
            <w:pPr>
              <w:rPr>
                <w:sz w:val="24"/>
              </w:rPr>
            </w:pPr>
          </w:p>
        </w:tc>
      </w:tr>
      <w:tr w:rsidR="008971B2" w14:paraId="22CA41AB" w14:textId="77777777" w:rsidTr="007C07C2">
        <w:tc>
          <w:tcPr>
            <w:tcW w:w="3708" w:type="dxa"/>
          </w:tcPr>
          <w:p w14:paraId="3E724A11" w14:textId="77777777" w:rsidR="008971B2" w:rsidRDefault="008971B2" w:rsidP="007C07C2">
            <w:pPr>
              <w:pStyle w:val="ListParagraph"/>
              <w:numPr>
                <w:ilvl w:val="0"/>
                <w:numId w:val="5"/>
              </w:numPr>
              <w:tabs>
                <w:tab w:val="num" w:pos="450"/>
              </w:tabs>
              <w:ind w:left="360" w:hanging="270"/>
              <w:rPr>
                <w:rFonts w:cstheme="minorHAnsi"/>
                <w:sz w:val="24"/>
              </w:rPr>
            </w:pPr>
            <w:r w:rsidRPr="00354B2F">
              <w:rPr>
                <w:rFonts w:cstheme="minorHAnsi"/>
                <w:sz w:val="24"/>
              </w:rPr>
              <w:t xml:space="preserve">What </w:t>
            </w:r>
            <w:r>
              <w:rPr>
                <w:rFonts w:cstheme="minorHAnsi"/>
                <w:sz w:val="24"/>
              </w:rPr>
              <w:t>is the process</w:t>
            </w:r>
            <w:r w:rsidRPr="00354B2F">
              <w:rPr>
                <w:rFonts w:cstheme="minorHAnsi"/>
                <w:sz w:val="24"/>
              </w:rPr>
              <w:t xml:space="preserve"> if questions of program or course cancellation arise? Is their agreement to review all courses and programs using current shared governance structures and policies</w:t>
            </w:r>
            <w:r w:rsidR="00F07489">
              <w:rPr>
                <w:rFonts w:cstheme="minorHAnsi"/>
                <w:sz w:val="24"/>
              </w:rPr>
              <w:t xml:space="preserve">? Will there be </w:t>
            </w:r>
            <w:r w:rsidRPr="00354B2F">
              <w:rPr>
                <w:rFonts w:cstheme="minorHAnsi"/>
                <w:sz w:val="24"/>
              </w:rPr>
              <w:t>no loss of programs without a program discontinuance review &amp; no loss of courses without a Curriculum Committee review?</w:t>
            </w:r>
          </w:p>
          <w:p w14:paraId="6540F0A6" w14:textId="461D94DB" w:rsidR="00D03B27" w:rsidRPr="00354B2F" w:rsidRDefault="00D03B27" w:rsidP="00D03B27">
            <w:pPr>
              <w:pStyle w:val="ListParagraph"/>
              <w:ind w:left="360"/>
              <w:rPr>
                <w:rFonts w:cstheme="minorHAnsi"/>
                <w:sz w:val="24"/>
              </w:rPr>
            </w:pPr>
          </w:p>
        </w:tc>
        <w:tc>
          <w:tcPr>
            <w:tcW w:w="4860" w:type="dxa"/>
          </w:tcPr>
          <w:p w14:paraId="075CFB75" w14:textId="743BE89E" w:rsidR="008971B2" w:rsidRPr="001B0C63" w:rsidRDefault="008971B2" w:rsidP="00F07489">
            <w:pPr>
              <w:rPr>
                <w:sz w:val="24"/>
              </w:rPr>
            </w:pPr>
            <w:r>
              <w:rPr>
                <w:sz w:val="24"/>
              </w:rPr>
              <w:t xml:space="preserve">Existing program review and curriculum processes should be used, no ad hoc or temporary decisions should overtake these processes </w:t>
            </w:r>
            <w:r w:rsidR="00F07489">
              <w:rPr>
                <w:sz w:val="24"/>
              </w:rPr>
              <w:t>since it is</w:t>
            </w:r>
            <w:r>
              <w:rPr>
                <w:sz w:val="24"/>
              </w:rPr>
              <w:t xml:space="preserve"> not </w:t>
            </w:r>
            <w:r w:rsidR="00F07489">
              <w:rPr>
                <w:sz w:val="24"/>
              </w:rPr>
              <w:t xml:space="preserve">a </w:t>
            </w:r>
            <w:r>
              <w:rPr>
                <w:sz w:val="24"/>
              </w:rPr>
              <w:t>sustainable</w:t>
            </w:r>
            <w:r w:rsidR="00F07489">
              <w:rPr>
                <w:sz w:val="24"/>
              </w:rPr>
              <w:t xml:space="preserve"> practice</w:t>
            </w:r>
            <w:r>
              <w:rPr>
                <w:sz w:val="24"/>
              </w:rPr>
              <w:t xml:space="preserve">. Use </w:t>
            </w:r>
            <w:r w:rsidR="00F07489">
              <w:rPr>
                <w:sz w:val="24"/>
              </w:rPr>
              <w:t xml:space="preserve">policies, </w:t>
            </w:r>
            <w:r>
              <w:rPr>
                <w:sz w:val="24"/>
              </w:rPr>
              <w:t>standards</w:t>
            </w:r>
            <w:r w:rsidR="00F07489">
              <w:rPr>
                <w:sz w:val="24"/>
              </w:rPr>
              <w:t>,</w:t>
            </w:r>
            <w:r>
              <w:rPr>
                <w:sz w:val="24"/>
              </w:rPr>
              <w:t xml:space="preserve"> and participants currently key to your governance process to build sustainability and to communicate college-wide.</w:t>
            </w:r>
          </w:p>
        </w:tc>
        <w:tc>
          <w:tcPr>
            <w:tcW w:w="4608" w:type="dxa"/>
          </w:tcPr>
          <w:p w14:paraId="1527613E" w14:textId="77777777" w:rsidR="008971B2" w:rsidRDefault="008971B2" w:rsidP="007C07C2">
            <w:pPr>
              <w:rPr>
                <w:sz w:val="24"/>
              </w:rPr>
            </w:pPr>
          </w:p>
        </w:tc>
      </w:tr>
      <w:tr w:rsidR="008971B2" w14:paraId="1316598B" w14:textId="77777777" w:rsidTr="00740A76">
        <w:tc>
          <w:tcPr>
            <w:tcW w:w="3708" w:type="dxa"/>
          </w:tcPr>
          <w:p w14:paraId="44461529" w14:textId="33195822" w:rsidR="008971B2" w:rsidRPr="00D03B27" w:rsidRDefault="008971B2" w:rsidP="00D03B27">
            <w:pPr>
              <w:numPr>
                <w:ilvl w:val="0"/>
                <w:numId w:val="1"/>
              </w:numPr>
              <w:tabs>
                <w:tab w:val="clear" w:pos="720"/>
                <w:tab w:val="num" w:pos="450"/>
              </w:tabs>
              <w:ind w:left="360" w:hanging="270"/>
              <w:rPr>
                <w:sz w:val="24"/>
              </w:rPr>
            </w:pPr>
            <w:r>
              <w:rPr>
                <w:sz w:val="24"/>
              </w:rPr>
              <w:lastRenderedPageBreak/>
              <w:t xml:space="preserve">How will programs be mapped </w:t>
            </w:r>
            <w:r w:rsidRPr="00D03B27">
              <w:rPr>
                <w:sz w:val="24"/>
              </w:rPr>
              <w:t>to the correct quantitative reasoning pathways?</w:t>
            </w:r>
          </w:p>
        </w:tc>
        <w:tc>
          <w:tcPr>
            <w:tcW w:w="4860" w:type="dxa"/>
          </w:tcPr>
          <w:p w14:paraId="4FA6B024" w14:textId="77777777" w:rsidR="008971B2" w:rsidRDefault="008971B2" w:rsidP="007C07C2">
            <w:pPr>
              <w:rPr>
                <w:sz w:val="24"/>
              </w:rPr>
            </w:pPr>
            <w:r>
              <w:rPr>
                <w:sz w:val="24"/>
              </w:rPr>
              <w:t>Discussions about the appropriate math for each program are key to constructing an adequate schedule of classes and a map.</w:t>
            </w:r>
          </w:p>
        </w:tc>
        <w:tc>
          <w:tcPr>
            <w:tcW w:w="4608" w:type="dxa"/>
          </w:tcPr>
          <w:p w14:paraId="3EFD20D3" w14:textId="77777777" w:rsidR="008971B2" w:rsidRDefault="008971B2" w:rsidP="007C07C2">
            <w:pPr>
              <w:rPr>
                <w:sz w:val="24"/>
              </w:rPr>
            </w:pPr>
          </w:p>
          <w:p w14:paraId="0FE1065D" w14:textId="77777777" w:rsidR="003F5FFC" w:rsidRDefault="003F5FFC" w:rsidP="007C07C2">
            <w:pPr>
              <w:rPr>
                <w:sz w:val="24"/>
              </w:rPr>
            </w:pPr>
          </w:p>
          <w:p w14:paraId="46BDCABE" w14:textId="77777777" w:rsidR="003F5FFC" w:rsidRDefault="003F5FFC" w:rsidP="007C07C2">
            <w:pPr>
              <w:rPr>
                <w:sz w:val="24"/>
              </w:rPr>
            </w:pPr>
          </w:p>
          <w:p w14:paraId="48C044A5" w14:textId="77777777" w:rsidR="003F5FFC" w:rsidRDefault="003F5FFC" w:rsidP="007C07C2">
            <w:pPr>
              <w:rPr>
                <w:sz w:val="24"/>
              </w:rPr>
            </w:pPr>
          </w:p>
        </w:tc>
      </w:tr>
      <w:tr w:rsidR="008971B2" w14:paraId="6470B10D" w14:textId="77777777" w:rsidTr="00740A76">
        <w:tc>
          <w:tcPr>
            <w:tcW w:w="3708" w:type="dxa"/>
          </w:tcPr>
          <w:p w14:paraId="7E4F39FC" w14:textId="2802E882" w:rsidR="008971B2" w:rsidRPr="005E0CA2" w:rsidRDefault="008971B2" w:rsidP="00452297">
            <w:pPr>
              <w:numPr>
                <w:ilvl w:val="0"/>
                <w:numId w:val="1"/>
              </w:numPr>
              <w:tabs>
                <w:tab w:val="clear" w:pos="720"/>
                <w:tab w:val="num" w:pos="450"/>
              </w:tabs>
              <w:ind w:left="360" w:hanging="270"/>
              <w:rPr>
                <w:sz w:val="24"/>
              </w:rPr>
            </w:pPr>
            <w:r>
              <w:rPr>
                <w:sz w:val="24"/>
              </w:rPr>
              <w:t xml:space="preserve">How will programs be mapped to the correct GE pathways </w:t>
            </w:r>
            <w:r w:rsidR="00F07489">
              <w:rPr>
                <w:sz w:val="24"/>
              </w:rPr>
              <w:t>(</w:t>
            </w:r>
            <w:r>
              <w:rPr>
                <w:sz w:val="24"/>
              </w:rPr>
              <w:t>e.g. local, CSU Breadth and IGETC</w:t>
            </w:r>
            <w:r w:rsidR="00F07489">
              <w:rPr>
                <w:sz w:val="24"/>
              </w:rPr>
              <w:t>)</w:t>
            </w:r>
            <w:r>
              <w:rPr>
                <w:sz w:val="24"/>
              </w:rPr>
              <w:t>?</w:t>
            </w:r>
          </w:p>
        </w:tc>
        <w:tc>
          <w:tcPr>
            <w:tcW w:w="4860" w:type="dxa"/>
          </w:tcPr>
          <w:p w14:paraId="40706F75" w14:textId="77777777" w:rsidR="008971B2" w:rsidRDefault="008971B2" w:rsidP="007C07C2">
            <w:pPr>
              <w:rPr>
                <w:sz w:val="24"/>
              </w:rPr>
            </w:pPr>
            <w:r>
              <w:rPr>
                <w:sz w:val="24"/>
              </w:rPr>
              <w:t>GE options include local, CSU breadth and IGETC. Where do most students transfer within each program?</w:t>
            </w:r>
          </w:p>
        </w:tc>
        <w:tc>
          <w:tcPr>
            <w:tcW w:w="4608" w:type="dxa"/>
          </w:tcPr>
          <w:p w14:paraId="3470BF89" w14:textId="77777777" w:rsidR="008971B2" w:rsidRDefault="008971B2" w:rsidP="007C07C2">
            <w:pPr>
              <w:rPr>
                <w:sz w:val="24"/>
              </w:rPr>
            </w:pPr>
          </w:p>
        </w:tc>
      </w:tr>
      <w:tr w:rsidR="008971B2" w14:paraId="3F0402C0" w14:textId="77777777" w:rsidTr="00740A76">
        <w:tc>
          <w:tcPr>
            <w:tcW w:w="3708" w:type="dxa"/>
          </w:tcPr>
          <w:p w14:paraId="52452819" w14:textId="77777777" w:rsidR="008971B2" w:rsidRPr="005E0CA2" w:rsidRDefault="008971B2" w:rsidP="00452297">
            <w:pPr>
              <w:numPr>
                <w:ilvl w:val="0"/>
                <w:numId w:val="1"/>
              </w:numPr>
              <w:tabs>
                <w:tab w:val="clear" w:pos="720"/>
                <w:tab w:val="num" w:pos="450"/>
              </w:tabs>
              <w:ind w:left="360" w:hanging="270"/>
              <w:rPr>
                <w:sz w:val="24"/>
              </w:rPr>
            </w:pPr>
            <w:r w:rsidRPr="005E0CA2">
              <w:rPr>
                <w:sz w:val="24"/>
              </w:rPr>
              <w:t xml:space="preserve">How will student voice be included in </w:t>
            </w:r>
            <w:r>
              <w:rPr>
                <w:sz w:val="24"/>
              </w:rPr>
              <w:t>program mapping</w:t>
            </w:r>
            <w:r w:rsidRPr="005E0CA2">
              <w:rPr>
                <w:sz w:val="24"/>
              </w:rPr>
              <w:t>?</w:t>
            </w:r>
          </w:p>
        </w:tc>
        <w:tc>
          <w:tcPr>
            <w:tcW w:w="4860" w:type="dxa"/>
          </w:tcPr>
          <w:p w14:paraId="422021E5" w14:textId="4CFD0E15" w:rsidR="008971B2" w:rsidRPr="001B0C63" w:rsidRDefault="008971B2" w:rsidP="00F07489">
            <w:pPr>
              <w:rPr>
                <w:sz w:val="24"/>
              </w:rPr>
            </w:pPr>
            <w:r>
              <w:rPr>
                <w:sz w:val="24"/>
              </w:rPr>
              <w:t xml:space="preserve">Incorporating student voice, at the beginning, strengthens decision and communication. </w:t>
            </w:r>
            <w:r w:rsidR="00F07489">
              <w:rPr>
                <w:sz w:val="24"/>
              </w:rPr>
              <w:t>Include</w:t>
            </w:r>
            <w:r>
              <w:rPr>
                <w:sz w:val="24"/>
              </w:rPr>
              <w:t xml:space="preserve"> students that are connected </w:t>
            </w:r>
            <w:r w:rsidR="00F07489">
              <w:rPr>
                <w:sz w:val="24"/>
              </w:rPr>
              <w:t xml:space="preserve">to other students and </w:t>
            </w:r>
            <w:r>
              <w:rPr>
                <w:sz w:val="24"/>
              </w:rPr>
              <w:t>will report back.</w:t>
            </w:r>
          </w:p>
        </w:tc>
        <w:tc>
          <w:tcPr>
            <w:tcW w:w="4608" w:type="dxa"/>
          </w:tcPr>
          <w:p w14:paraId="65C12DB9" w14:textId="77777777" w:rsidR="008971B2" w:rsidRDefault="008971B2" w:rsidP="007C07C2">
            <w:pPr>
              <w:rPr>
                <w:sz w:val="24"/>
              </w:rPr>
            </w:pPr>
          </w:p>
        </w:tc>
      </w:tr>
      <w:tr w:rsidR="008971B2" w14:paraId="265FC14D" w14:textId="77777777" w:rsidTr="00740A76">
        <w:tc>
          <w:tcPr>
            <w:tcW w:w="3708" w:type="dxa"/>
          </w:tcPr>
          <w:p w14:paraId="17EA52D9" w14:textId="77777777" w:rsidR="008971B2" w:rsidRPr="005E0CA2" w:rsidRDefault="008971B2" w:rsidP="00452297">
            <w:pPr>
              <w:numPr>
                <w:ilvl w:val="0"/>
                <w:numId w:val="1"/>
              </w:numPr>
              <w:tabs>
                <w:tab w:val="clear" w:pos="720"/>
                <w:tab w:val="num" w:pos="450"/>
              </w:tabs>
              <w:ind w:left="360" w:hanging="270"/>
              <w:rPr>
                <w:sz w:val="24"/>
              </w:rPr>
            </w:pPr>
            <w:r w:rsidRPr="005E0CA2">
              <w:rPr>
                <w:sz w:val="24"/>
              </w:rPr>
              <w:t xml:space="preserve">How will remediation and basic skills progression fit within </w:t>
            </w:r>
            <w:r>
              <w:rPr>
                <w:sz w:val="24"/>
              </w:rPr>
              <w:t>programs?</w:t>
            </w:r>
          </w:p>
        </w:tc>
        <w:tc>
          <w:tcPr>
            <w:tcW w:w="4860" w:type="dxa"/>
          </w:tcPr>
          <w:p w14:paraId="1379132B" w14:textId="648BD923" w:rsidR="008971B2" w:rsidRPr="001B0C63" w:rsidRDefault="008971B2" w:rsidP="00D03B27">
            <w:pPr>
              <w:rPr>
                <w:sz w:val="24"/>
              </w:rPr>
            </w:pPr>
            <w:r>
              <w:rPr>
                <w:sz w:val="24"/>
              </w:rPr>
              <w:t xml:space="preserve">Determining the role of remediation </w:t>
            </w:r>
            <w:r w:rsidR="00F07489">
              <w:rPr>
                <w:sz w:val="24"/>
              </w:rPr>
              <w:t xml:space="preserve">and basic skills </w:t>
            </w:r>
            <w:r>
              <w:rPr>
                <w:sz w:val="24"/>
              </w:rPr>
              <w:t xml:space="preserve">in each </w:t>
            </w:r>
            <w:r w:rsidR="00D03B27">
              <w:rPr>
                <w:sz w:val="24"/>
              </w:rPr>
              <w:t>p</w:t>
            </w:r>
            <w:r w:rsidR="00032942">
              <w:rPr>
                <w:sz w:val="24"/>
              </w:rPr>
              <w:t>r</w:t>
            </w:r>
            <w:bookmarkStart w:id="0" w:name="_GoBack"/>
            <w:bookmarkEnd w:id="0"/>
            <w:r w:rsidR="00D03B27">
              <w:rPr>
                <w:sz w:val="24"/>
              </w:rPr>
              <w:t>ogram</w:t>
            </w:r>
            <w:r>
              <w:rPr>
                <w:sz w:val="24"/>
              </w:rPr>
              <w:t xml:space="preserve"> or as a separate unit is important. The additional work falls on English, ESL, Reading</w:t>
            </w:r>
            <w:r w:rsidR="00F07489">
              <w:rPr>
                <w:sz w:val="24"/>
              </w:rPr>
              <w:t>,</w:t>
            </w:r>
            <w:r>
              <w:rPr>
                <w:sz w:val="24"/>
              </w:rPr>
              <w:t xml:space="preserve"> and Math.</w:t>
            </w:r>
          </w:p>
        </w:tc>
        <w:tc>
          <w:tcPr>
            <w:tcW w:w="4608" w:type="dxa"/>
          </w:tcPr>
          <w:p w14:paraId="26E12546" w14:textId="77777777" w:rsidR="008971B2" w:rsidRDefault="008971B2" w:rsidP="007C07C2">
            <w:pPr>
              <w:rPr>
                <w:sz w:val="24"/>
              </w:rPr>
            </w:pPr>
          </w:p>
        </w:tc>
      </w:tr>
      <w:tr w:rsidR="008971B2" w14:paraId="38CC54B7" w14:textId="77777777" w:rsidTr="00740A76">
        <w:tc>
          <w:tcPr>
            <w:tcW w:w="3708" w:type="dxa"/>
          </w:tcPr>
          <w:p w14:paraId="42877CC4" w14:textId="77777777" w:rsidR="008971B2" w:rsidRPr="005E0CA2" w:rsidRDefault="008971B2" w:rsidP="00452297">
            <w:pPr>
              <w:numPr>
                <w:ilvl w:val="0"/>
                <w:numId w:val="1"/>
              </w:numPr>
              <w:tabs>
                <w:tab w:val="clear" w:pos="720"/>
                <w:tab w:val="num" w:pos="450"/>
              </w:tabs>
              <w:ind w:left="360" w:hanging="270"/>
              <w:rPr>
                <w:sz w:val="24"/>
              </w:rPr>
            </w:pPr>
            <w:r>
              <w:rPr>
                <w:sz w:val="24"/>
              </w:rPr>
              <w:t>How w</w:t>
            </w:r>
            <w:r w:rsidRPr="005E0CA2">
              <w:rPr>
                <w:sz w:val="24"/>
              </w:rPr>
              <w:t>ill program</w:t>
            </w:r>
            <w:r>
              <w:rPr>
                <w:sz w:val="24"/>
              </w:rPr>
              <w:t xml:space="preserve"> mapping focus on employment and/or transfer?</w:t>
            </w:r>
            <w:r w:rsidRPr="005E0CA2">
              <w:rPr>
                <w:sz w:val="24"/>
              </w:rPr>
              <w:t xml:space="preserve"> </w:t>
            </w:r>
          </w:p>
        </w:tc>
        <w:tc>
          <w:tcPr>
            <w:tcW w:w="4860" w:type="dxa"/>
          </w:tcPr>
          <w:p w14:paraId="62CA4437" w14:textId="77777777" w:rsidR="008971B2" w:rsidRPr="001B0C63" w:rsidRDefault="008971B2" w:rsidP="007C07C2">
            <w:pPr>
              <w:rPr>
                <w:sz w:val="24"/>
              </w:rPr>
            </w:pPr>
            <w:r>
              <w:rPr>
                <w:sz w:val="24"/>
              </w:rPr>
              <w:t>Mapping with the end in mind has been loudly supported by students; how will this be accomplished?</w:t>
            </w:r>
          </w:p>
        </w:tc>
        <w:tc>
          <w:tcPr>
            <w:tcW w:w="4608" w:type="dxa"/>
          </w:tcPr>
          <w:p w14:paraId="7A17B443" w14:textId="77777777" w:rsidR="008971B2" w:rsidRDefault="008971B2" w:rsidP="007C07C2">
            <w:pPr>
              <w:rPr>
                <w:sz w:val="24"/>
              </w:rPr>
            </w:pPr>
          </w:p>
          <w:p w14:paraId="7A6B54FD" w14:textId="77777777" w:rsidR="003F5FFC" w:rsidRDefault="003F5FFC" w:rsidP="007C07C2">
            <w:pPr>
              <w:rPr>
                <w:sz w:val="24"/>
              </w:rPr>
            </w:pPr>
          </w:p>
          <w:p w14:paraId="02A8686C" w14:textId="77777777" w:rsidR="003F5FFC" w:rsidRDefault="003F5FFC" w:rsidP="007C07C2">
            <w:pPr>
              <w:rPr>
                <w:sz w:val="24"/>
              </w:rPr>
            </w:pPr>
          </w:p>
          <w:p w14:paraId="04A7EA18" w14:textId="77777777" w:rsidR="003F5FFC" w:rsidRDefault="003F5FFC" w:rsidP="007C07C2">
            <w:pPr>
              <w:rPr>
                <w:sz w:val="24"/>
              </w:rPr>
            </w:pPr>
          </w:p>
        </w:tc>
      </w:tr>
      <w:tr w:rsidR="008971B2" w14:paraId="027F74A0" w14:textId="77777777" w:rsidTr="00740A76">
        <w:tc>
          <w:tcPr>
            <w:tcW w:w="3708" w:type="dxa"/>
          </w:tcPr>
          <w:p w14:paraId="11DABA96" w14:textId="77777777" w:rsidR="008971B2" w:rsidRPr="00354B2F" w:rsidRDefault="008971B2" w:rsidP="00002EBB">
            <w:pPr>
              <w:numPr>
                <w:ilvl w:val="0"/>
                <w:numId w:val="1"/>
              </w:numPr>
              <w:tabs>
                <w:tab w:val="clear" w:pos="720"/>
                <w:tab w:val="num" w:pos="450"/>
              </w:tabs>
              <w:ind w:left="360" w:hanging="270"/>
              <w:rPr>
                <w:sz w:val="24"/>
              </w:rPr>
            </w:pPr>
            <w:r>
              <w:rPr>
                <w:bCs/>
                <w:sz w:val="24"/>
              </w:rPr>
              <w:t>How will programs address</w:t>
            </w:r>
            <w:r w:rsidRPr="00354B2F">
              <w:rPr>
                <w:bCs/>
                <w:sz w:val="24"/>
              </w:rPr>
              <w:t xml:space="preserve"> minimizing time </w:t>
            </w:r>
            <w:r>
              <w:rPr>
                <w:bCs/>
                <w:sz w:val="24"/>
              </w:rPr>
              <w:t xml:space="preserve">and units </w:t>
            </w:r>
            <w:r w:rsidRPr="00354B2F">
              <w:rPr>
                <w:bCs/>
                <w:sz w:val="24"/>
              </w:rPr>
              <w:t>to completion?</w:t>
            </w:r>
          </w:p>
        </w:tc>
        <w:tc>
          <w:tcPr>
            <w:tcW w:w="4860" w:type="dxa"/>
          </w:tcPr>
          <w:p w14:paraId="0F34D89F" w14:textId="77777777" w:rsidR="008971B2" w:rsidRPr="001B0C63" w:rsidRDefault="008971B2" w:rsidP="007C07C2">
            <w:pPr>
              <w:rPr>
                <w:sz w:val="24"/>
              </w:rPr>
            </w:pPr>
            <w:r>
              <w:rPr>
                <w:sz w:val="24"/>
              </w:rPr>
              <w:t>Clear pathways should reduce time to completion but this intersects with scheduling. How will scheduling be handled for meta-majors?</w:t>
            </w:r>
          </w:p>
        </w:tc>
        <w:tc>
          <w:tcPr>
            <w:tcW w:w="4608" w:type="dxa"/>
          </w:tcPr>
          <w:p w14:paraId="79671437" w14:textId="77777777" w:rsidR="008971B2" w:rsidRDefault="008971B2" w:rsidP="007C07C2">
            <w:pPr>
              <w:rPr>
                <w:sz w:val="24"/>
              </w:rPr>
            </w:pPr>
          </w:p>
        </w:tc>
      </w:tr>
    </w:tbl>
    <w:p w14:paraId="6EA9CE4D" w14:textId="77777777" w:rsidR="00C47096" w:rsidRDefault="00C47096" w:rsidP="00740A76">
      <w:pPr>
        <w:rPr>
          <w:rFonts w:cstheme="minorHAnsi"/>
          <w:sz w:val="24"/>
        </w:rPr>
      </w:pPr>
    </w:p>
    <w:sectPr w:rsidR="00C47096" w:rsidSect="00D03B27">
      <w:headerReference w:type="even" r:id="rId9"/>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91725" w14:textId="77777777" w:rsidR="007C07C2" w:rsidRDefault="007C07C2" w:rsidP="00805754">
      <w:pPr>
        <w:spacing w:after="0" w:line="240" w:lineRule="auto"/>
      </w:pPr>
      <w:r>
        <w:separator/>
      </w:r>
    </w:p>
  </w:endnote>
  <w:endnote w:type="continuationSeparator" w:id="0">
    <w:p w14:paraId="00E3AB9C" w14:textId="77777777" w:rsidR="007C07C2" w:rsidRDefault="007C07C2" w:rsidP="0080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C14A" w14:textId="77777777" w:rsidR="007C07C2" w:rsidRDefault="007C07C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8/26/2018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64D1E" w:rsidRPr="00264D1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93B05B4" w14:textId="77777777" w:rsidR="007C07C2" w:rsidRDefault="007C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C5850" w14:textId="77777777" w:rsidR="007C07C2" w:rsidRDefault="007C07C2" w:rsidP="00805754">
      <w:pPr>
        <w:spacing w:after="0" w:line="240" w:lineRule="auto"/>
      </w:pPr>
      <w:r>
        <w:separator/>
      </w:r>
    </w:p>
  </w:footnote>
  <w:footnote w:type="continuationSeparator" w:id="0">
    <w:p w14:paraId="178432DB" w14:textId="77777777" w:rsidR="007C07C2" w:rsidRDefault="007C07C2" w:rsidP="0080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4"/>
      <w:gridCol w:w="12536"/>
    </w:tblGrid>
    <w:tr w:rsidR="00D03B27" w:rsidRPr="00DB639B" w14:paraId="266C9105" w14:textId="77777777" w:rsidTr="000C3F4C">
      <w:tc>
        <w:tcPr>
          <w:tcW w:w="248" w:type="pct"/>
          <w:tcBorders>
            <w:bottom w:val="single" w:sz="4" w:space="0" w:color="C45911" w:themeColor="accent2" w:themeShade="BF"/>
          </w:tcBorders>
          <w:shd w:val="clear" w:color="auto" w:fill="C45911" w:themeFill="accent2" w:themeFillShade="BF"/>
          <w:vAlign w:val="bottom"/>
        </w:tcPr>
        <w:p w14:paraId="645FD4CB" w14:textId="77777777" w:rsidR="00D03B27" w:rsidRPr="00124693" w:rsidRDefault="00D03B27" w:rsidP="000C3F4C">
          <w:pPr>
            <w:pStyle w:val="Header"/>
            <w:jc w:val="center"/>
            <w:rPr>
              <w:rFonts w:ascii="Calibri" w:hAnsi="Calibri"/>
              <w:b/>
              <w:color w:val="FFFFFF" w:themeColor="background1"/>
              <w:sz w:val="24"/>
              <w:szCs w:val="24"/>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264D1E">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c>
        <w:tcPr>
          <w:tcW w:w="4752" w:type="pct"/>
          <w:tcBorders>
            <w:bottom w:val="single" w:sz="4" w:space="0" w:color="auto"/>
          </w:tcBorders>
          <w:vAlign w:val="bottom"/>
        </w:tcPr>
        <w:p w14:paraId="4B736EC0" w14:textId="3EF347E8" w:rsidR="00D03B27" w:rsidRPr="00DB639B" w:rsidRDefault="00D03B27" w:rsidP="000C3F4C">
          <w:pPr>
            <w:pStyle w:val="Header"/>
            <w:rPr>
              <w:rFonts w:ascii="Calibri" w:hAnsi="Calibri"/>
              <w:bCs/>
              <w:color w:val="000000" w:themeColor="text1"/>
              <w:sz w:val="24"/>
              <w:szCs w:val="24"/>
            </w:rPr>
          </w:pPr>
          <w:r w:rsidRPr="006D0F4F">
            <w:rPr>
              <w:b/>
              <w:sz w:val="28"/>
            </w:rPr>
            <w:t xml:space="preserve">Considerations for Guidelines while </w:t>
          </w:r>
          <w:r>
            <w:rPr>
              <w:b/>
              <w:sz w:val="28"/>
            </w:rPr>
            <w:t xml:space="preserve">Mapping Programs   </w:t>
          </w:r>
        </w:p>
      </w:tc>
    </w:tr>
  </w:tbl>
  <w:p w14:paraId="53E406BE" w14:textId="77777777" w:rsidR="00D03B27" w:rsidRDefault="00D03B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0445" w14:textId="77777777" w:rsidR="007C07C2" w:rsidRDefault="007C07C2" w:rsidP="006B24AE">
    <w:pPr>
      <w:pStyle w:val="Header"/>
      <w:jc w:val="center"/>
      <w:rPr>
        <w:b/>
        <w:sz w:val="28"/>
      </w:rPr>
    </w:pPr>
    <w:r w:rsidRPr="006B24AE">
      <w:rPr>
        <w:b/>
        <w:noProof/>
        <w:sz w:val="28"/>
      </w:rPr>
      <w:drawing>
        <wp:inline distT="0" distB="0" distL="0" distR="0" wp14:anchorId="51A28284" wp14:editId="6275ED40">
          <wp:extent cx="1133633" cy="409632"/>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94C7.tmp"/>
                  <pic:cNvPicPr/>
                </pic:nvPicPr>
                <pic:blipFill>
                  <a:blip r:embed="rId1">
                    <a:extLst>
                      <a:ext uri="{28A0092B-C50C-407E-A947-70E740481C1C}">
                        <a14:useLocalDpi xmlns:a14="http://schemas.microsoft.com/office/drawing/2010/main" val="0"/>
                      </a:ext>
                    </a:extLst>
                  </a:blip>
                  <a:stretch>
                    <a:fillRect/>
                  </a:stretch>
                </pic:blipFill>
                <pic:spPr>
                  <a:xfrm>
                    <a:off x="0" y="0"/>
                    <a:ext cx="1133633" cy="409632"/>
                  </a:xfrm>
                  <a:prstGeom prst="rect">
                    <a:avLst/>
                  </a:prstGeom>
                </pic:spPr>
              </pic:pic>
            </a:graphicData>
          </a:graphic>
        </wp:inline>
      </w:drawing>
    </w:r>
    <w:r>
      <w:rPr>
        <w:b/>
        <w:sz w:val="28"/>
      </w:rPr>
      <w:t xml:space="preserve">       </w:t>
    </w:r>
    <w:r w:rsidRPr="006D0F4F">
      <w:rPr>
        <w:b/>
        <w:sz w:val="28"/>
      </w:rPr>
      <w:t xml:space="preserve">Considerations for Guidelines while </w:t>
    </w:r>
    <w:r>
      <w:rPr>
        <w:b/>
        <w:sz w:val="28"/>
      </w:rPr>
      <w:t xml:space="preserve">Mapping Programs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746D"/>
    <w:multiLevelType w:val="hybridMultilevel"/>
    <w:tmpl w:val="4850A766"/>
    <w:lvl w:ilvl="0" w:tplc="FA3A1696">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E2080C7A">
      <w:start w:val="1"/>
      <w:numFmt w:val="bullet"/>
      <w:lvlText w:val="•"/>
      <w:lvlJc w:val="left"/>
      <w:pPr>
        <w:tabs>
          <w:tab w:val="num" w:pos="2160"/>
        </w:tabs>
        <w:ind w:left="2160" w:hanging="360"/>
      </w:pPr>
      <w:rPr>
        <w:rFonts w:ascii="Arial" w:hAnsi="Arial" w:hint="default"/>
      </w:rPr>
    </w:lvl>
    <w:lvl w:ilvl="3" w:tplc="06403F7E" w:tentative="1">
      <w:start w:val="1"/>
      <w:numFmt w:val="bullet"/>
      <w:lvlText w:val="•"/>
      <w:lvlJc w:val="left"/>
      <w:pPr>
        <w:tabs>
          <w:tab w:val="num" w:pos="2880"/>
        </w:tabs>
        <w:ind w:left="2880" w:hanging="360"/>
      </w:pPr>
      <w:rPr>
        <w:rFonts w:ascii="Arial" w:hAnsi="Arial" w:hint="default"/>
      </w:rPr>
    </w:lvl>
    <w:lvl w:ilvl="4" w:tplc="5A7A79C4" w:tentative="1">
      <w:start w:val="1"/>
      <w:numFmt w:val="bullet"/>
      <w:lvlText w:val="•"/>
      <w:lvlJc w:val="left"/>
      <w:pPr>
        <w:tabs>
          <w:tab w:val="num" w:pos="3600"/>
        </w:tabs>
        <w:ind w:left="3600" w:hanging="360"/>
      </w:pPr>
      <w:rPr>
        <w:rFonts w:ascii="Arial" w:hAnsi="Arial" w:hint="default"/>
      </w:rPr>
    </w:lvl>
    <w:lvl w:ilvl="5" w:tplc="C7860FE2" w:tentative="1">
      <w:start w:val="1"/>
      <w:numFmt w:val="bullet"/>
      <w:lvlText w:val="•"/>
      <w:lvlJc w:val="left"/>
      <w:pPr>
        <w:tabs>
          <w:tab w:val="num" w:pos="4320"/>
        </w:tabs>
        <w:ind w:left="4320" w:hanging="360"/>
      </w:pPr>
      <w:rPr>
        <w:rFonts w:ascii="Arial" w:hAnsi="Arial" w:hint="default"/>
      </w:rPr>
    </w:lvl>
    <w:lvl w:ilvl="6" w:tplc="B49AE868" w:tentative="1">
      <w:start w:val="1"/>
      <w:numFmt w:val="bullet"/>
      <w:lvlText w:val="•"/>
      <w:lvlJc w:val="left"/>
      <w:pPr>
        <w:tabs>
          <w:tab w:val="num" w:pos="5040"/>
        </w:tabs>
        <w:ind w:left="5040" w:hanging="360"/>
      </w:pPr>
      <w:rPr>
        <w:rFonts w:ascii="Arial" w:hAnsi="Arial" w:hint="default"/>
      </w:rPr>
    </w:lvl>
    <w:lvl w:ilvl="7" w:tplc="5A2A9AAC" w:tentative="1">
      <w:start w:val="1"/>
      <w:numFmt w:val="bullet"/>
      <w:lvlText w:val="•"/>
      <w:lvlJc w:val="left"/>
      <w:pPr>
        <w:tabs>
          <w:tab w:val="num" w:pos="5760"/>
        </w:tabs>
        <w:ind w:left="5760" w:hanging="360"/>
      </w:pPr>
      <w:rPr>
        <w:rFonts w:ascii="Arial" w:hAnsi="Arial" w:hint="default"/>
      </w:rPr>
    </w:lvl>
    <w:lvl w:ilvl="8" w:tplc="56F43AAC" w:tentative="1">
      <w:start w:val="1"/>
      <w:numFmt w:val="bullet"/>
      <w:lvlText w:val="•"/>
      <w:lvlJc w:val="left"/>
      <w:pPr>
        <w:tabs>
          <w:tab w:val="num" w:pos="6480"/>
        </w:tabs>
        <w:ind w:left="6480" w:hanging="360"/>
      </w:pPr>
      <w:rPr>
        <w:rFonts w:ascii="Arial" w:hAnsi="Arial" w:hint="default"/>
      </w:rPr>
    </w:lvl>
  </w:abstractNum>
  <w:abstractNum w:abstractNumId="1">
    <w:nsid w:val="2EF47E86"/>
    <w:multiLevelType w:val="hybridMultilevel"/>
    <w:tmpl w:val="64F0A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1E4958"/>
    <w:multiLevelType w:val="hybridMultilevel"/>
    <w:tmpl w:val="06EE25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C5735E"/>
    <w:multiLevelType w:val="hybridMultilevel"/>
    <w:tmpl w:val="B2C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B75B1"/>
    <w:multiLevelType w:val="hybridMultilevel"/>
    <w:tmpl w:val="936287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4A"/>
    <w:rsid w:val="00002EBB"/>
    <w:rsid w:val="00016A38"/>
    <w:rsid w:val="00032942"/>
    <w:rsid w:val="0003322D"/>
    <w:rsid w:val="001112EC"/>
    <w:rsid w:val="001929A3"/>
    <w:rsid w:val="001B0C63"/>
    <w:rsid w:val="001F205E"/>
    <w:rsid w:val="0020114A"/>
    <w:rsid w:val="00230783"/>
    <w:rsid w:val="00264D1E"/>
    <w:rsid w:val="002B4CBB"/>
    <w:rsid w:val="00362677"/>
    <w:rsid w:val="003F5FFC"/>
    <w:rsid w:val="00452297"/>
    <w:rsid w:val="00473141"/>
    <w:rsid w:val="004859BF"/>
    <w:rsid w:val="00487E34"/>
    <w:rsid w:val="00564FE8"/>
    <w:rsid w:val="005D18AE"/>
    <w:rsid w:val="0060695A"/>
    <w:rsid w:val="006B24AE"/>
    <w:rsid w:val="006D0F4F"/>
    <w:rsid w:val="006E467C"/>
    <w:rsid w:val="00712966"/>
    <w:rsid w:val="0072752D"/>
    <w:rsid w:val="00740A76"/>
    <w:rsid w:val="007A7BFF"/>
    <w:rsid w:val="007C07C2"/>
    <w:rsid w:val="00805754"/>
    <w:rsid w:val="008504EC"/>
    <w:rsid w:val="008971B2"/>
    <w:rsid w:val="009075B9"/>
    <w:rsid w:val="00A2125E"/>
    <w:rsid w:val="00A73202"/>
    <w:rsid w:val="00AC1E7B"/>
    <w:rsid w:val="00BD666C"/>
    <w:rsid w:val="00C47096"/>
    <w:rsid w:val="00CC58BD"/>
    <w:rsid w:val="00D03B27"/>
    <w:rsid w:val="00D307E7"/>
    <w:rsid w:val="00D317C1"/>
    <w:rsid w:val="00D51951"/>
    <w:rsid w:val="00DD1E5A"/>
    <w:rsid w:val="00DE5496"/>
    <w:rsid w:val="00E629D7"/>
    <w:rsid w:val="00EF6EEE"/>
    <w:rsid w:val="00F041E8"/>
    <w:rsid w:val="00F07489"/>
    <w:rsid w:val="00F15595"/>
    <w:rsid w:val="00F919C9"/>
    <w:rsid w:val="00FC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2E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54"/>
  </w:style>
  <w:style w:type="paragraph" w:styleId="Footer">
    <w:name w:val="footer"/>
    <w:basedOn w:val="Normal"/>
    <w:link w:val="FooterChar"/>
    <w:uiPriority w:val="99"/>
    <w:unhideWhenUsed/>
    <w:rsid w:val="00805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54"/>
  </w:style>
  <w:style w:type="paragraph" w:styleId="BalloonText">
    <w:name w:val="Balloon Text"/>
    <w:basedOn w:val="Normal"/>
    <w:link w:val="BalloonTextChar"/>
    <w:uiPriority w:val="99"/>
    <w:semiHidden/>
    <w:unhideWhenUsed/>
    <w:rsid w:val="00805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54"/>
    <w:rPr>
      <w:rFonts w:ascii="Tahoma" w:hAnsi="Tahoma" w:cs="Tahoma"/>
      <w:sz w:val="16"/>
      <w:szCs w:val="16"/>
    </w:rPr>
  </w:style>
  <w:style w:type="paragraph" w:styleId="NormalWeb">
    <w:name w:val="Normal (Web)"/>
    <w:basedOn w:val="Normal"/>
    <w:uiPriority w:val="99"/>
    <w:semiHidden/>
    <w:unhideWhenUsed/>
    <w:rsid w:val="00E629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18AE"/>
    <w:pPr>
      <w:ind w:left="720"/>
      <w:contextualSpacing/>
    </w:pPr>
  </w:style>
  <w:style w:type="table" w:styleId="TableGrid">
    <w:name w:val="Table Grid"/>
    <w:basedOn w:val="TableNormal"/>
    <w:uiPriority w:val="39"/>
    <w:rsid w:val="00C4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F1F3-6758-423B-9573-78615B6B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Fulks</dc:creator>
  <cp:lastModifiedBy>Janet</cp:lastModifiedBy>
  <cp:revision>6</cp:revision>
  <cp:lastPrinted>2018-09-08T19:38:00Z</cp:lastPrinted>
  <dcterms:created xsi:type="dcterms:W3CDTF">2018-09-08T19:36:00Z</dcterms:created>
  <dcterms:modified xsi:type="dcterms:W3CDTF">2018-09-08T19:38:00Z</dcterms:modified>
</cp:coreProperties>
</file>