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342" w:tblpY="2317"/>
        <w:tblW w:w="10620" w:type="dxa"/>
        <w:tblLook w:val="04A0" w:firstRow="1" w:lastRow="0" w:firstColumn="1" w:lastColumn="0" w:noHBand="0" w:noVBand="1"/>
      </w:tblPr>
      <w:tblGrid>
        <w:gridCol w:w="2245"/>
        <w:gridCol w:w="4505"/>
        <w:gridCol w:w="1935"/>
        <w:gridCol w:w="445"/>
        <w:gridCol w:w="1490"/>
      </w:tblGrid>
      <w:tr w:rsidR="000136D3" w14:paraId="76E678F5" w14:textId="77777777" w:rsidTr="00230490">
        <w:tc>
          <w:tcPr>
            <w:tcW w:w="6750" w:type="dxa"/>
            <w:gridSpan w:val="2"/>
            <w:vMerge w:val="restart"/>
          </w:tcPr>
          <w:p w14:paraId="4F4A14E9" w14:textId="4E1DC031" w:rsidR="000136D3" w:rsidRDefault="000136D3" w:rsidP="00413F8F">
            <w:r>
              <w:t xml:space="preserve">SUBJECT:  </w:t>
            </w:r>
            <w:r w:rsidR="00D92F81">
              <w:t xml:space="preserve">Establishment of ASCCC </w:t>
            </w:r>
            <w:proofErr w:type="spellStart"/>
            <w:r w:rsidR="00D92F81">
              <w:t>Latinx</w:t>
            </w:r>
            <w:proofErr w:type="spellEnd"/>
            <w:r w:rsidR="00D92F81">
              <w:t xml:space="preserve"> Caucus</w:t>
            </w:r>
          </w:p>
        </w:tc>
        <w:tc>
          <w:tcPr>
            <w:tcW w:w="1935" w:type="dxa"/>
          </w:tcPr>
          <w:p w14:paraId="6810FD04" w14:textId="2BF851F1" w:rsidR="000136D3" w:rsidRDefault="000136D3" w:rsidP="00413F8F">
            <w:r>
              <w:t xml:space="preserve">Month: </w:t>
            </w:r>
            <w:r w:rsidR="00D92F81">
              <w:t>December</w:t>
            </w:r>
          </w:p>
        </w:tc>
        <w:tc>
          <w:tcPr>
            <w:tcW w:w="1935" w:type="dxa"/>
            <w:gridSpan w:val="2"/>
          </w:tcPr>
          <w:p w14:paraId="6EC78281" w14:textId="706C42F8" w:rsidR="000136D3" w:rsidRDefault="000136D3" w:rsidP="00413F8F">
            <w:r>
              <w:t xml:space="preserve">Year: </w:t>
            </w:r>
            <w:r w:rsidR="00D92F81">
              <w:t>2017</w:t>
            </w:r>
          </w:p>
        </w:tc>
      </w:tr>
      <w:tr w:rsidR="000136D3" w14:paraId="3288C2FE" w14:textId="77777777" w:rsidTr="000136D3">
        <w:trPr>
          <w:trHeight w:val="253"/>
        </w:trPr>
        <w:tc>
          <w:tcPr>
            <w:tcW w:w="6750" w:type="dxa"/>
            <w:gridSpan w:val="2"/>
            <w:vMerge/>
          </w:tcPr>
          <w:p w14:paraId="02BB5701" w14:textId="77777777" w:rsidR="000136D3" w:rsidRDefault="000136D3" w:rsidP="00B3781D"/>
        </w:tc>
        <w:tc>
          <w:tcPr>
            <w:tcW w:w="3870" w:type="dxa"/>
            <w:gridSpan w:val="3"/>
            <w:shd w:val="clear" w:color="auto" w:fill="BFBFBF" w:themeFill="background1" w:themeFillShade="BF"/>
          </w:tcPr>
          <w:p w14:paraId="6805688C" w14:textId="5BF3B80C" w:rsidR="000136D3" w:rsidRDefault="000136D3" w:rsidP="000136D3">
            <w:r>
              <w:t xml:space="preserve">Item No: </w:t>
            </w:r>
            <w:r w:rsidR="00065FD4">
              <w:t>IV. L.</w:t>
            </w:r>
          </w:p>
        </w:tc>
      </w:tr>
      <w:tr w:rsidR="000136D3" w14:paraId="6C923724" w14:textId="77777777" w:rsidTr="00230490">
        <w:tc>
          <w:tcPr>
            <w:tcW w:w="6750" w:type="dxa"/>
            <w:gridSpan w:val="2"/>
            <w:vMerge/>
          </w:tcPr>
          <w:p w14:paraId="43AD459E" w14:textId="77777777" w:rsidR="000136D3" w:rsidRDefault="000136D3" w:rsidP="00B3781D"/>
        </w:tc>
        <w:tc>
          <w:tcPr>
            <w:tcW w:w="3870" w:type="dxa"/>
            <w:gridSpan w:val="3"/>
          </w:tcPr>
          <w:p w14:paraId="695492D7" w14:textId="6631971E" w:rsidR="000136D3" w:rsidRDefault="00413F8F" w:rsidP="00230490">
            <w:r>
              <w:t>Attachment:</w:t>
            </w:r>
            <w:r w:rsidR="00D92F81">
              <w:t xml:space="preserve"> Yes</w:t>
            </w:r>
          </w:p>
        </w:tc>
      </w:tr>
      <w:tr w:rsidR="004121AD" w14:paraId="08734A1C" w14:textId="77777777" w:rsidTr="000136D3">
        <w:tc>
          <w:tcPr>
            <w:tcW w:w="2245" w:type="dxa"/>
            <w:vMerge w:val="restart"/>
            <w:shd w:val="clear" w:color="auto" w:fill="auto"/>
          </w:tcPr>
          <w:p w14:paraId="405A55A4" w14:textId="77777777" w:rsidR="004121AD" w:rsidRDefault="004121AD" w:rsidP="00B3781D">
            <w:r>
              <w:t xml:space="preserve">DESIRED OUTCOME:  </w:t>
            </w:r>
          </w:p>
        </w:tc>
        <w:tc>
          <w:tcPr>
            <w:tcW w:w="4505" w:type="dxa"/>
            <w:vMerge w:val="restart"/>
            <w:shd w:val="clear" w:color="auto" w:fill="auto"/>
          </w:tcPr>
          <w:p w14:paraId="64944E44" w14:textId="285132FC" w:rsidR="004121AD" w:rsidRPr="00065FD4" w:rsidRDefault="00D92F81" w:rsidP="00B3781D">
            <w:r w:rsidRPr="00065FD4">
              <w:t xml:space="preserve">Consideration for approval of the proposed ASCCC </w:t>
            </w:r>
            <w:proofErr w:type="spellStart"/>
            <w:r w:rsidRPr="00065FD4">
              <w:t>Latinx</w:t>
            </w:r>
            <w:proofErr w:type="spellEnd"/>
            <w:r w:rsidRPr="00065FD4">
              <w:t xml:space="preserve"> Caucus</w:t>
            </w:r>
          </w:p>
        </w:tc>
        <w:tc>
          <w:tcPr>
            <w:tcW w:w="3870" w:type="dxa"/>
            <w:gridSpan w:val="3"/>
          </w:tcPr>
          <w:p w14:paraId="288B70CE" w14:textId="5CFCB827" w:rsidR="004121AD" w:rsidRDefault="00230490" w:rsidP="000136D3">
            <w:r>
              <w:t xml:space="preserve">Urgent:   </w:t>
            </w:r>
            <w:r w:rsidR="00D92F81">
              <w:t>Yes</w:t>
            </w:r>
          </w:p>
        </w:tc>
      </w:tr>
      <w:tr w:rsidR="004121AD" w14:paraId="09732064" w14:textId="77777777" w:rsidTr="004121AD">
        <w:trPr>
          <w:trHeight w:val="136"/>
        </w:trPr>
        <w:tc>
          <w:tcPr>
            <w:tcW w:w="2245" w:type="dxa"/>
            <w:vMerge/>
            <w:shd w:val="clear" w:color="auto" w:fill="auto"/>
          </w:tcPr>
          <w:p w14:paraId="49EEBB49" w14:textId="77777777" w:rsidR="004121AD" w:rsidRDefault="004121AD" w:rsidP="00B3781D"/>
        </w:tc>
        <w:tc>
          <w:tcPr>
            <w:tcW w:w="4505" w:type="dxa"/>
            <w:vMerge/>
            <w:shd w:val="clear" w:color="auto" w:fill="auto"/>
          </w:tcPr>
          <w:p w14:paraId="6693B250" w14:textId="77777777" w:rsidR="004121AD" w:rsidRDefault="004121AD" w:rsidP="00B3781D"/>
        </w:tc>
        <w:tc>
          <w:tcPr>
            <w:tcW w:w="3870" w:type="dxa"/>
            <w:gridSpan w:val="3"/>
          </w:tcPr>
          <w:p w14:paraId="4B2C9C40" w14:textId="177F49C5" w:rsidR="004121AD" w:rsidRDefault="00413F8F" w:rsidP="002B6375">
            <w:r>
              <w:t xml:space="preserve">Time Requested: </w:t>
            </w:r>
            <w:r w:rsidR="00D92F81">
              <w:t>10 minutes</w:t>
            </w:r>
          </w:p>
        </w:tc>
      </w:tr>
      <w:tr w:rsidR="00B3781D" w14:paraId="220853B7" w14:textId="77777777" w:rsidTr="000136D3">
        <w:tc>
          <w:tcPr>
            <w:tcW w:w="2245" w:type="dxa"/>
            <w:shd w:val="clear" w:color="auto" w:fill="auto"/>
          </w:tcPr>
          <w:p w14:paraId="20AE4757" w14:textId="77777777" w:rsidR="00B3781D" w:rsidRDefault="00B3781D" w:rsidP="00B3781D">
            <w:r>
              <w:t>CATEGORY:</w:t>
            </w:r>
          </w:p>
        </w:tc>
        <w:tc>
          <w:tcPr>
            <w:tcW w:w="4505" w:type="dxa"/>
            <w:shd w:val="clear" w:color="auto" w:fill="auto"/>
          </w:tcPr>
          <w:p w14:paraId="58F3921F" w14:textId="768001E7" w:rsidR="00B3781D" w:rsidRDefault="00D92F81" w:rsidP="00B3781D">
            <w:r>
              <w:t>Action Items</w:t>
            </w:r>
          </w:p>
        </w:tc>
        <w:tc>
          <w:tcPr>
            <w:tcW w:w="3870" w:type="dxa"/>
            <w:gridSpan w:val="3"/>
          </w:tcPr>
          <w:p w14:paraId="13398DF9" w14:textId="77777777" w:rsidR="00B3781D" w:rsidRPr="000136D3" w:rsidRDefault="00B3781D" w:rsidP="00B3781D">
            <w:pPr>
              <w:rPr>
                <w:b/>
              </w:rPr>
            </w:pPr>
            <w:r w:rsidRPr="000136D3">
              <w:rPr>
                <w:b/>
              </w:rPr>
              <w:t>TYPE OF BOARD CONSIDERATION:</w:t>
            </w:r>
          </w:p>
        </w:tc>
      </w:tr>
      <w:tr w:rsidR="00B3781D" w14:paraId="7E9D55D2" w14:textId="77777777" w:rsidTr="000136D3">
        <w:tc>
          <w:tcPr>
            <w:tcW w:w="2245" w:type="dxa"/>
            <w:vMerge w:val="restart"/>
            <w:shd w:val="clear" w:color="auto" w:fill="auto"/>
          </w:tcPr>
          <w:p w14:paraId="3480472F" w14:textId="77777777" w:rsidR="00B3781D" w:rsidRDefault="00B3781D" w:rsidP="00B3781D">
            <w:r>
              <w:t xml:space="preserve">REQUESTED BY: </w:t>
            </w:r>
          </w:p>
        </w:tc>
        <w:tc>
          <w:tcPr>
            <w:tcW w:w="4505" w:type="dxa"/>
            <w:vMerge w:val="restart"/>
            <w:shd w:val="clear" w:color="auto" w:fill="auto"/>
          </w:tcPr>
          <w:p w14:paraId="3837964A" w14:textId="07BF4AD4" w:rsidR="00B3781D" w:rsidRDefault="00065FD4" w:rsidP="00B3781D">
            <w:r>
              <w:t xml:space="preserve">John </w:t>
            </w:r>
            <w:r w:rsidR="00D92F81">
              <w:t>Freitas</w:t>
            </w:r>
          </w:p>
        </w:tc>
        <w:tc>
          <w:tcPr>
            <w:tcW w:w="2380" w:type="dxa"/>
            <w:gridSpan w:val="2"/>
          </w:tcPr>
          <w:p w14:paraId="478D61E9" w14:textId="77777777" w:rsidR="00B3781D" w:rsidRDefault="00B3781D" w:rsidP="00B3781D">
            <w:r>
              <w:t>Consent/Routine</w:t>
            </w:r>
          </w:p>
        </w:tc>
        <w:tc>
          <w:tcPr>
            <w:tcW w:w="1490" w:type="dxa"/>
          </w:tcPr>
          <w:p w14:paraId="15F1F6FF" w14:textId="77777777" w:rsidR="00B3781D" w:rsidRDefault="00B3781D" w:rsidP="00B3781D"/>
        </w:tc>
      </w:tr>
      <w:tr w:rsidR="00B3781D" w14:paraId="294F91D3" w14:textId="77777777" w:rsidTr="000136D3">
        <w:tc>
          <w:tcPr>
            <w:tcW w:w="2245" w:type="dxa"/>
            <w:vMerge/>
            <w:shd w:val="clear" w:color="auto" w:fill="auto"/>
          </w:tcPr>
          <w:p w14:paraId="74F25A8A" w14:textId="77777777" w:rsidR="00B3781D" w:rsidRDefault="00B3781D" w:rsidP="00B3781D"/>
        </w:tc>
        <w:tc>
          <w:tcPr>
            <w:tcW w:w="4505" w:type="dxa"/>
            <w:vMerge/>
            <w:shd w:val="clear" w:color="auto" w:fill="auto"/>
          </w:tcPr>
          <w:p w14:paraId="108846B6" w14:textId="77777777" w:rsidR="00B3781D" w:rsidRDefault="00B3781D" w:rsidP="00B3781D"/>
        </w:tc>
        <w:tc>
          <w:tcPr>
            <w:tcW w:w="2380" w:type="dxa"/>
            <w:gridSpan w:val="2"/>
          </w:tcPr>
          <w:p w14:paraId="570D8138" w14:textId="77777777" w:rsidR="00B3781D" w:rsidRDefault="00B3781D" w:rsidP="00B3781D">
            <w:r>
              <w:t>First Reading</w:t>
            </w:r>
          </w:p>
        </w:tc>
        <w:tc>
          <w:tcPr>
            <w:tcW w:w="1490" w:type="dxa"/>
          </w:tcPr>
          <w:p w14:paraId="3C2317A9" w14:textId="77777777" w:rsidR="00B3781D" w:rsidRDefault="00B3781D" w:rsidP="00B3781D"/>
        </w:tc>
      </w:tr>
      <w:tr w:rsidR="00B3781D" w14:paraId="7A3BE256" w14:textId="77777777" w:rsidTr="000136D3">
        <w:tc>
          <w:tcPr>
            <w:tcW w:w="2245" w:type="dxa"/>
            <w:vMerge w:val="restart"/>
            <w:shd w:val="clear" w:color="auto" w:fill="BFBFBF" w:themeFill="background1" w:themeFillShade="BF"/>
          </w:tcPr>
          <w:p w14:paraId="6C9A26EA" w14:textId="77777777" w:rsidR="00B3781D" w:rsidRDefault="00B3781D" w:rsidP="00B3781D">
            <w:r>
              <w:t>STAFF REVIEW</w:t>
            </w:r>
            <w:r>
              <w:rPr>
                <w:rStyle w:val="FootnoteReference"/>
              </w:rPr>
              <w:footnoteReference w:id="1"/>
            </w:r>
            <w:r>
              <w:t xml:space="preserve">: </w:t>
            </w:r>
          </w:p>
        </w:tc>
        <w:tc>
          <w:tcPr>
            <w:tcW w:w="4505" w:type="dxa"/>
            <w:vMerge w:val="restart"/>
            <w:shd w:val="clear" w:color="auto" w:fill="BFBFBF" w:themeFill="background1" w:themeFillShade="BF"/>
          </w:tcPr>
          <w:p w14:paraId="70D3C1FC" w14:textId="2FE88EE9" w:rsidR="00B3781D" w:rsidRDefault="00065FD4" w:rsidP="00B3781D">
            <w:r>
              <w:t>Ashley Fisher</w:t>
            </w:r>
          </w:p>
        </w:tc>
        <w:tc>
          <w:tcPr>
            <w:tcW w:w="2380" w:type="dxa"/>
            <w:gridSpan w:val="2"/>
          </w:tcPr>
          <w:p w14:paraId="06C5DECE" w14:textId="77777777" w:rsidR="00B3781D" w:rsidRDefault="00B3781D" w:rsidP="00B3781D">
            <w:r>
              <w:t>Action</w:t>
            </w:r>
          </w:p>
        </w:tc>
        <w:tc>
          <w:tcPr>
            <w:tcW w:w="1490" w:type="dxa"/>
          </w:tcPr>
          <w:p w14:paraId="70013ADB" w14:textId="093DC550" w:rsidR="00B3781D" w:rsidRDefault="00D92F81" w:rsidP="00B3781D">
            <w:r>
              <w:t>X</w:t>
            </w:r>
          </w:p>
        </w:tc>
      </w:tr>
      <w:tr w:rsidR="00B3781D" w14:paraId="77505D82" w14:textId="77777777" w:rsidTr="000136D3">
        <w:tc>
          <w:tcPr>
            <w:tcW w:w="2245" w:type="dxa"/>
            <w:vMerge/>
            <w:shd w:val="clear" w:color="auto" w:fill="BFBFBF" w:themeFill="background1" w:themeFillShade="BF"/>
          </w:tcPr>
          <w:p w14:paraId="6666E3F8" w14:textId="77777777" w:rsidR="00B3781D" w:rsidRDefault="00B3781D" w:rsidP="00B3781D"/>
        </w:tc>
        <w:tc>
          <w:tcPr>
            <w:tcW w:w="4505" w:type="dxa"/>
            <w:vMerge/>
            <w:shd w:val="clear" w:color="auto" w:fill="BFBFBF" w:themeFill="background1" w:themeFillShade="BF"/>
          </w:tcPr>
          <w:p w14:paraId="14447C22" w14:textId="77777777" w:rsidR="00B3781D" w:rsidRDefault="00B3781D" w:rsidP="00B3781D"/>
        </w:tc>
        <w:tc>
          <w:tcPr>
            <w:tcW w:w="2380" w:type="dxa"/>
            <w:gridSpan w:val="2"/>
          </w:tcPr>
          <w:p w14:paraId="225AF26E" w14:textId="77777777" w:rsidR="00B3781D" w:rsidRDefault="00B3781D" w:rsidP="00B3781D">
            <w:r>
              <w:t>Information</w:t>
            </w:r>
          </w:p>
        </w:tc>
        <w:tc>
          <w:tcPr>
            <w:tcW w:w="1490" w:type="dxa"/>
          </w:tcPr>
          <w:p w14:paraId="161323C8" w14:textId="77777777" w:rsidR="00B3781D" w:rsidRDefault="00B3781D" w:rsidP="00B3781D"/>
        </w:tc>
      </w:tr>
    </w:tbl>
    <w:p w14:paraId="61204AB9" w14:textId="77777777" w:rsidR="00D8338D" w:rsidRDefault="00B3781D" w:rsidP="003B5793">
      <w:pPr>
        <w:jc w:val="center"/>
        <w:rPr>
          <w:b/>
          <w:sz w:val="32"/>
          <w:szCs w:val="32"/>
        </w:rPr>
      </w:pPr>
      <w:r>
        <w:rPr>
          <w:noProof/>
        </w:rPr>
        <w:drawing>
          <wp:anchor distT="0" distB="0" distL="114300" distR="114300" simplePos="0" relativeHeight="251658240" behindDoc="1" locked="0" layoutInCell="1" allowOverlap="1" wp14:anchorId="5908BE7E" wp14:editId="3F80C43C">
            <wp:simplePos x="0" y="0"/>
            <wp:positionH relativeFrom="column">
              <wp:posOffset>-716280</wp:posOffset>
            </wp:positionH>
            <wp:positionV relativeFrom="paragraph">
              <wp:posOffset>-441960</wp:posOffset>
            </wp:positionV>
            <wp:extent cx="2726055" cy="678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055" cy="678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609A4">
        <w:rPr>
          <w:b/>
          <w:sz w:val="32"/>
          <w:szCs w:val="32"/>
        </w:rPr>
        <w:br/>
      </w:r>
      <w:r w:rsidR="003B5793" w:rsidRPr="003B5793">
        <w:rPr>
          <w:b/>
          <w:sz w:val="32"/>
          <w:szCs w:val="32"/>
        </w:rPr>
        <w:t>Executive Committee Agenda Item</w:t>
      </w:r>
    </w:p>
    <w:p w14:paraId="2EDF76D9" w14:textId="77777777" w:rsidR="00D87FA0" w:rsidRPr="00D87FA0" w:rsidRDefault="00D87FA0" w:rsidP="00D87FA0">
      <w:pPr>
        <w:ind w:left="-450"/>
        <w:rPr>
          <w:i/>
        </w:rPr>
      </w:pPr>
      <w:r w:rsidRPr="00D87FA0">
        <w:rPr>
          <w:i/>
        </w:rPr>
        <w:t xml:space="preserve">Please note: </w:t>
      </w:r>
      <w:r>
        <w:rPr>
          <w:i/>
        </w:rPr>
        <w:t>S</w:t>
      </w:r>
      <w:r w:rsidRPr="00D87FA0">
        <w:rPr>
          <w:i/>
        </w:rPr>
        <w:t xml:space="preserve">taff will complete </w:t>
      </w:r>
      <w:r>
        <w:rPr>
          <w:i/>
        </w:rPr>
        <w:t>the g</w:t>
      </w:r>
      <w:r w:rsidRPr="00D87FA0">
        <w:rPr>
          <w:i/>
        </w:rPr>
        <w:t xml:space="preserve">rey areas.  </w:t>
      </w:r>
    </w:p>
    <w:p w14:paraId="4DDF1BED" w14:textId="77777777" w:rsidR="00B3781D" w:rsidRDefault="0062464E" w:rsidP="00B3781D">
      <w:pPr>
        <w:tabs>
          <w:tab w:val="left" w:pos="-360"/>
        </w:tabs>
        <w:ind w:left="-450"/>
        <w:rPr>
          <w:i/>
          <w:sz w:val="24"/>
          <w:szCs w:val="24"/>
        </w:rPr>
      </w:pPr>
      <w:r>
        <w:rPr>
          <w:b/>
          <w:sz w:val="24"/>
          <w:szCs w:val="24"/>
        </w:rPr>
        <w:t xml:space="preserve">BACKGROUND: </w:t>
      </w:r>
      <w:r w:rsidR="00B3781D">
        <w:rPr>
          <w:i/>
          <w:sz w:val="24"/>
          <w:szCs w:val="24"/>
        </w:rPr>
        <w:t xml:space="preserve"> </w:t>
      </w:r>
    </w:p>
    <w:p w14:paraId="0E2FDCF8" w14:textId="315B24E4" w:rsidR="002B6375" w:rsidRDefault="00D92F81" w:rsidP="00E12E19">
      <w:pPr>
        <w:pStyle w:val="NoSpacing"/>
        <w:rPr>
          <w:sz w:val="24"/>
          <w:szCs w:val="24"/>
        </w:rPr>
      </w:pPr>
      <w:r>
        <w:rPr>
          <w:sz w:val="24"/>
          <w:szCs w:val="24"/>
        </w:rPr>
        <w:t xml:space="preserve">An application for caucus recognition for a new ASCCC </w:t>
      </w:r>
      <w:proofErr w:type="spellStart"/>
      <w:r>
        <w:rPr>
          <w:sz w:val="24"/>
          <w:szCs w:val="24"/>
        </w:rPr>
        <w:t>Latinx</w:t>
      </w:r>
      <w:proofErr w:type="spellEnd"/>
      <w:r>
        <w:rPr>
          <w:sz w:val="24"/>
          <w:szCs w:val="24"/>
        </w:rPr>
        <w:t xml:space="preserve"> Caucus has been received. The proposal is </w:t>
      </w:r>
      <w:r w:rsidR="0074739C">
        <w:rPr>
          <w:sz w:val="24"/>
          <w:szCs w:val="24"/>
        </w:rPr>
        <w:t>on the following page</w:t>
      </w:r>
      <w:r>
        <w:rPr>
          <w:sz w:val="24"/>
          <w:szCs w:val="24"/>
        </w:rPr>
        <w:t xml:space="preserve">. The application meets the requirements for consideration: 10 faculty members from four different colleges and two different districts, and a statement how </w:t>
      </w:r>
      <w:r w:rsidR="00D90D11">
        <w:rPr>
          <w:sz w:val="24"/>
          <w:szCs w:val="24"/>
        </w:rPr>
        <w:t>its objectives further those of the ASCCC.</w:t>
      </w:r>
      <w:r w:rsidR="0074739C">
        <w:rPr>
          <w:sz w:val="24"/>
          <w:szCs w:val="24"/>
        </w:rPr>
        <w:t xml:space="preserve"> Approval of the caucus requires a majority vote of the Executive Committee.</w:t>
      </w:r>
      <w:bookmarkStart w:id="0" w:name="_GoBack"/>
      <w:bookmarkEnd w:id="0"/>
    </w:p>
    <w:p w14:paraId="6662FF0D" w14:textId="77777777" w:rsidR="00D92F81" w:rsidRPr="00E12E19" w:rsidRDefault="00D92F81" w:rsidP="00E12E19">
      <w:pPr>
        <w:pStyle w:val="NoSpacing"/>
        <w:rPr>
          <w:sz w:val="24"/>
          <w:szCs w:val="24"/>
        </w:rPr>
      </w:pPr>
    </w:p>
    <w:p w14:paraId="0F27347B" w14:textId="77777777" w:rsidR="00261E81" w:rsidRPr="00261E81" w:rsidRDefault="00261E81" w:rsidP="00261E81">
      <w:pPr>
        <w:pStyle w:val="NoSpacing"/>
        <w:rPr>
          <w:b/>
          <w:color w:val="000000" w:themeColor="text1"/>
        </w:rPr>
      </w:pPr>
      <w:r w:rsidRPr="00261E81">
        <w:rPr>
          <w:b/>
          <w:color w:val="000000" w:themeColor="text1"/>
        </w:rPr>
        <w:t>APPLICATION FOR CAUCUS RECOGNITION:</w:t>
      </w:r>
    </w:p>
    <w:p w14:paraId="38943951" w14:textId="4460F4A5" w:rsidR="00261E81" w:rsidRPr="00261E81" w:rsidRDefault="00261E81" w:rsidP="00261E81">
      <w:pPr>
        <w:pStyle w:val="NoSpacing"/>
        <w:rPr>
          <w:rFonts w:cs="Lucida Grande"/>
          <w:color w:val="000000" w:themeColor="text1"/>
        </w:rPr>
      </w:pPr>
      <w:r w:rsidRPr="00261E81">
        <w:rPr>
          <w:rFonts w:cs="Lucida Grande"/>
          <w:color w:val="000000" w:themeColor="text1"/>
        </w:rPr>
        <w:t>At any time during the year, the interested members of the proposed caucus may submit a Recognition of Caucus Application to the ASCCC Office.</w:t>
      </w:r>
    </w:p>
    <w:p w14:paraId="2967A4A1" w14:textId="77777777" w:rsidR="00261E81" w:rsidRPr="00261E81" w:rsidRDefault="00261E81" w:rsidP="00261E81">
      <w:pPr>
        <w:pStyle w:val="NoSpacing"/>
        <w:rPr>
          <w:rFonts w:cs="Lucida Grande"/>
          <w:color w:val="000000" w:themeColor="text1"/>
        </w:rPr>
      </w:pPr>
    </w:p>
    <w:p w14:paraId="082383EA" w14:textId="77777777" w:rsidR="00261E81" w:rsidRDefault="00261E81" w:rsidP="00261E81">
      <w:pPr>
        <w:pStyle w:val="NoSpacing"/>
        <w:rPr>
          <w:rFonts w:cs="Lucida Grande"/>
          <w:color w:val="000000" w:themeColor="text1"/>
        </w:rPr>
      </w:pPr>
      <w:r w:rsidRPr="00261E81">
        <w:rPr>
          <w:rFonts w:cs="Lucida Grande"/>
          <w:color w:val="000000" w:themeColor="text1"/>
        </w:rPr>
        <w:t xml:space="preserve">Caucuses are established by a simple majority vote of the ASCCC Executive Committee to approve the written application. </w:t>
      </w:r>
      <w:r w:rsidRPr="00D92F81">
        <w:rPr>
          <w:rFonts w:cs="Lucida Grande"/>
          <w:b/>
          <w:color w:val="000000" w:themeColor="text1"/>
        </w:rPr>
        <w:t>The application shall state the purpose of the proposed caucus, names of members (minimum of ten faculty from at least four different colleges and at least two districts), the contact information for leadership of the proposed caucus, and a statement explaining how the objectives of the caucus will further those of the ASCCC.</w:t>
      </w:r>
    </w:p>
    <w:p w14:paraId="569642DE" w14:textId="77777777" w:rsidR="00261E81" w:rsidRPr="00261E81" w:rsidRDefault="00261E81" w:rsidP="00261E81">
      <w:pPr>
        <w:pStyle w:val="NoSpacing"/>
        <w:rPr>
          <w:rFonts w:cs="Lucida Grande"/>
          <w:color w:val="000000" w:themeColor="text1"/>
        </w:rPr>
      </w:pPr>
    </w:p>
    <w:p w14:paraId="5588702A" w14:textId="77777777" w:rsidR="00261E81" w:rsidRDefault="00261E81" w:rsidP="00261E81">
      <w:pPr>
        <w:pStyle w:val="NoSpacing"/>
        <w:rPr>
          <w:rFonts w:cs="Lucida Grande"/>
          <w:color w:val="000000" w:themeColor="text1"/>
        </w:rPr>
      </w:pPr>
      <w:r w:rsidRPr="00261E81">
        <w:rPr>
          <w:rFonts w:cs="Lucida Grande"/>
          <w:color w:val="000000" w:themeColor="text1"/>
        </w:rPr>
        <w:t>ASCCC reserves the right not to recognize a caucus if it feels the caucus does not meet the criteria for recognition of a caucus listed above. If a caucus is not recognized, the individual who submitted the recognition of caucus application will be notified of any questions for clarification, or the reasons or concerns with the proposed caucus. If a caucus application is denied, a revised application may be re-submitted to the ASCCC Office.</w:t>
      </w:r>
    </w:p>
    <w:p w14:paraId="5D903230" w14:textId="77777777" w:rsidR="00261E81" w:rsidRPr="00261E81" w:rsidRDefault="00261E81" w:rsidP="00261E81">
      <w:pPr>
        <w:pStyle w:val="NoSpacing"/>
        <w:rPr>
          <w:rFonts w:cs="Lucida Grande"/>
          <w:color w:val="000000" w:themeColor="text1"/>
        </w:rPr>
      </w:pPr>
    </w:p>
    <w:p w14:paraId="6E43D206" w14:textId="77777777" w:rsidR="00261E81" w:rsidRPr="00261E81" w:rsidRDefault="00261E81" w:rsidP="00261E81">
      <w:pPr>
        <w:pStyle w:val="NoSpacing"/>
        <w:rPr>
          <w:rFonts w:cs="Lucida Grande"/>
          <w:color w:val="000000" w:themeColor="text1"/>
        </w:rPr>
      </w:pPr>
      <w:r w:rsidRPr="00261E81">
        <w:rPr>
          <w:rFonts w:cs="Lucida Grande"/>
          <w:color w:val="000000" w:themeColor="text1"/>
        </w:rPr>
        <w:t>Previously approved caucuses that have failed to express their intent to remain active by May, can be re-established as a caucus by submitting a new written application.</w:t>
      </w:r>
    </w:p>
    <w:p w14:paraId="3ADD170F" w14:textId="77777777" w:rsidR="00261E81" w:rsidRPr="00261E81" w:rsidRDefault="00261E81" w:rsidP="00261E81">
      <w:pPr>
        <w:spacing w:after="0" w:line="240" w:lineRule="auto"/>
        <w:rPr>
          <w:rFonts w:ascii="Calibri" w:eastAsia="Times New Roman" w:hAnsi="Calibri" w:cs="Times New Roman"/>
          <w:color w:val="000000"/>
          <w:sz w:val="24"/>
          <w:szCs w:val="24"/>
        </w:rPr>
      </w:pPr>
    </w:p>
    <w:p w14:paraId="29D48540" w14:textId="7B3F695F" w:rsidR="0074739C" w:rsidRDefault="0074739C">
      <w:pPr>
        <w:rPr>
          <w:sz w:val="24"/>
          <w:szCs w:val="24"/>
        </w:rPr>
      </w:pPr>
      <w:r>
        <w:rPr>
          <w:sz w:val="24"/>
          <w:szCs w:val="24"/>
        </w:rPr>
        <w:br w:type="page"/>
      </w:r>
    </w:p>
    <w:p w14:paraId="67BFC3C7" w14:textId="77777777" w:rsidR="0074739C" w:rsidRPr="0074739C" w:rsidRDefault="0074739C" w:rsidP="0074739C">
      <w:pPr>
        <w:pStyle w:val="NoSpacing"/>
        <w:rPr>
          <w:b/>
        </w:rPr>
      </w:pPr>
      <w:r w:rsidRPr="0074739C">
        <w:rPr>
          <w:b/>
        </w:rPr>
        <w:lastRenderedPageBreak/>
        <w:t xml:space="preserve">ASCCC </w:t>
      </w:r>
      <w:proofErr w:type="spellStart"/>
      <w:r w:rsidRPr="0074739C">
        <w:rPr>
          <w:b/>
        </w:rPr>
        <w:t>Latinx</w:t>
      </w:r>
      <w:proofErr w:type="spellEnd"/>
      <w:r w:rsidRPr="0074739C">
        <w:rPr>
          <w:b/>
        </w:rPr>
        <w:t xml:space="preserve"> Caucus: Statement of Purpose:</w:t>
      </w:r>
    </w:p>
    <w:p w14:paraId="42C6A885" w14:textId="77777777" w:rsidR="0074739C" w:rsidRDefault="0074739C" w:rsidP="0074739C">
      <w:pPr>
        <w:pStyle w:val="NoSpacing"/>
      </w:pPr>
      <w:r>
        <w:t xml:space="preserve">According to the Tomas Rivera Policy Institute Chicano/Latino students represent nearly half of the potential college population in California; related to this, </w:t>
      </w:r>
      <w:proofErr w:type="spellStart"/>
      <w:r>
        <w:t>Latinx</w:t>
      </w:r>
      <w:proofErr w:type="spellEnd"/>
      <w:r>
        <w:t xml:space="preserve"> students represent the largest percentage of ethnically diverse students (43%) enrolled in the California community colleges.  Yet </w:t>
      </w:r>
      <w:proofErr w:type="spellStart"/>
      <w:r>
        <w:t>Latinx</w:t>
      </w:r>
      <w:proofErr w:type="spellEnd"/>
      <w:r>
        <w:t xml:space="preserve"> students face serious challenges to access, entry, and effectively moving through the community college experience. </w:t>
      </w:r>
    </w:p>
    <w:p w14:paraId="1EA61DD2" w14:textId="77777777" w:rsidR="0074739C" w:rsidRDefault="0074739C" w:rsidP="0074739C">
      <w:pPr>
        <w:pStyle w:val="NoSpacing"/>
      </w:pPr>
    </w:p>
    <w:p w14:paraId="5A3BE07D" w14:textId="77777777" w:rsidR="0074739C" w:rsidRDefault="0074739C" w:rsidP="0074739C">
      <w:pPr>
        <w:pStyle w:val="NoSpacing"/>
      </w:pPr>
      <w:r>
        <w:t xml:space="preserve"> The ASCCC </w:t>
      </w:r>
      <w:proofErr w:type="spellStart"/>
      <w:r>
        <w:t>Latinx</w:t>
      </w:r>
      <w:proofErr w:type="spellEnd"/>
      <w:r>
        <w:t xml:space="preserve"> Caucus will address the concerns related to </w:t>
      </w:r>
      <w:proofErr w:type="spellStart"/>
      <w:r>
        <w:t>Latinx</w:t>
      </w:r>
      <w:proofErr w:type="spellEnd"/>
      <w:r>
        <w:t xml:space="preserve"> student access, entry, and success in California Community Colleges by studying issues and actively engaging in advocacy within the ASCCC to address the challenges to </w:t>
      </w:r>
      <w:proofErr w:type="spellStart"/>
      <w:r>
        <w:t>Latinx</w:t>
      </w:r>
      <w:proofErr w:type="spellEnd"/>
      <w:r>
        <w:t xml:space="preserve"> student success.  In this regard, the </w:t>
      </w:r>
      <w:proofErr w:type="spellStart"/>
      <w:r>
        <w:t>Latinx</w:t>
      </w:r>
      <w:proofErr w:type="spellEnd"/>
      <w:r>
        <w:t xml:space="preserve"> Caucus will propose and lead workshops at ASCCC Plenaries, as well as other ASCCC-sponsored conferences, to address such issues as increasing the proportion of </w:t>
      </w:r>
      <w:proofErr w:type="spellStart"/>
      <w:r>
        <w:t>Latinx</w:t>
      </w:r>
      <w:proofErr w:type="spellEnd"/>
      <w:r>
        <w:t xml:space="preserve"> tenured and adjunct faculty in the California Community Colleges, increasing the numbers of </w:t>
      </w:r>
      <w:proofErr w:type="spellStart"/>
      <w:r>
        <w:t>Latinx</w:t>
      </w:r>
      <w:proofErr w:type="spellEnd"/>
      <w:r>
        <w:t xml:space="preserve"> faculty who assume leadership positions within local and state Senate activities, supporting DACA and immigrant students’ access, entry, and success into the California Community Colleges, and generally addressing the wide range of challenges that face </w:t>
      </w:r>
      <w:proofErr w:type="spellStart"/>
      <w:r>
        <w:t>Latinx</w:t>
      </w:r>
      <w:proofErr w:type="spellEnd"/>
      <w:r>
        <w:t xml:space="preserve"> students in our community college system.  Along with the latter, the </w:t>
      </w:r>
      <w:proofErr w:type="spellStart"/>
      <w:r>
        <w:t>Latinx</w:t>
      </w:r>
      <w:proofErr w:type="spellEnd"/>
      <w:r>
        <w:t xml:space="preserve"> Caucus will serve as a support group for new and continuing </w:t>
      </w:r>
      <w:proofErr w:type="spellStart"/>
      <w:r>
        <w:t>Latinx</w:t>
      </w:r>
      <w:proofErr w:type="spellEnd"/>
      <w:r>
        <w:t xml:space="preserve"> Senate members to develop their competence and success as Senate leaders.  The </w:t>
      </w:r>
      <w:proofErr w:type="spellStart"/>
      <w:r>
        <w:t>Latinx</w:t>
      </w:r>
      <w:proofErr w:type="spellEnd"/>
      <w:r>
        <w:t xml:space="preserve"> Caucus will also be a welcoming group to any member of the ASCCC who wants to join in efforts to address the concerns of the </w:t>
      </w:r>
      <w:proofErr w:type="spellStart"/>
      <w:r>
        <w:t>Latinx</w:t>
      </w:r>
      <w:proofErr w:type="spellEnd"/>
      <w:r>
        <w:t xml:space="preserve"> community of educators within the California Community College System.</w:t>
      </w:r>
    </w:p>
    <w:p w14:paraId="33B0BF42" w14:textId="77777777" w:rsidR="0074739C" w:rsidRDefault="0074739C" w:rsidP="0074739C">
      <w:pPr>
        <w:pStyle w:val="NoSpacing"/>
      </w:pPr>
    </w:p>
    <w:p w14:paraId="46200403" w14:textId="77777777" w:rsidR="0074739C" w:rsidRDefault="0074739C" w:rsidP="0074739C">
      <w:pPr>
        <w:pStyle w:val="NoSpacing"/>
      </w:pPr>
      <w:r>
        <w:t xml:space="preserve">Finally, the </w:t>
      </w:r>
      <w:proofErr w:type="spellStart"/>
      <w:r>
        <w:t>Latinx</w:t>
      </w:r>
      <w:proofErr w:type="spellEnd"/>
      <w:r>
        <w:t xml:space="preserve"> Caucus will serve to advise the ASCCC membership on how various initiatives will impact </w:t>
      </w:r>
      <w:proofErr w:type="spellStart"/>
      <w:r>
        <w:t>Latinx</w:t>
      </w:r>
      <w:proofErr w:type="spellEnd"/>
      <w:r>
        <w:t xml:space="preserve"> students.</w:t>
      </w:r>
    </w:p>
    <w:p w14:paraId="5546B072" w14:textId="77777777" w:rsidR="0074739C" w:rsidRDefault="0074739C" w:rsidP="0074739C">
      <w:pPr>
        <w:pStyle w:val="NoSpacing"/>
        <w:numPr>
          <w:ilvl w:val="0"/>
          <w:numId w:val="3"/>
        </w:numPr>
      </w:pPr>
      <w:r>
        <w:t>Mario Rivas, Merritt College, Psychology, Senate President, Peralta Community College District</w:t>
      </w:r>
    </w:p>
    <w:p w14:paraId="13EBD896" w14:textId="77777777" w:rsidR="0074739C" w:rsidRDefault="0074739C" w:rsidP="0074739C">
      <w:pPr>
        <w:pStyle w:val="NoSpacing"/>
        <w:numPr>
          <w:ilvl w:val="0"/>
          <w:numId w:val="3"/>
        </w:numPr>
      </w:pPr>
      <w:r>
        <w:t>Karen Chow De Anza College, English and Asian American Studies, Senate President</w:t>
      </w:r>
    </w:p>
    <w:p w14:paraId="59E0BDCB" w14:textId="77777777" w:rsidR="0074739C" w:rsidRDefault="0074739C" w:rsidP="0074739C">
      <w:pPr>
        <w:pStyle w:val="NoSpacing"/>
        <w:numPr>
          <w:ilvl w:val="0"/>
          <w:numId w:val="3"/>
        </w:numPr>
      </w:pPr>
      <w:r>
        <w:t>Maria Figueroa English Faculty Mira Costa College District  Senate President Elect</w:t>
      </w:r>
    </w:p>
    <w:p w14:paraId="1DDE03A4" w14:textId="77777777" w:rsidR="0074739C" w:rsidRDefault="0074739C" w:rsidP="0074739C">
      <w:pPr>
        <w:pStyle w:val="NoSpacing"/>
        <w:numPr>
          <w:ilvl w:val="0"/>
          <w:numId w:val="3"/>
        </w:numPr>
      </w:pPr>
      <w:r>
        <w:t>Lina Soto Counselor Mt. San Antonio College Senate Vice President</w:t>
      </w:r>
    </w:p>
    <w:p w14:paraId="693E7DD2" w14:textId="77777777" w:rsidR="0074739C" w:rsidRDefault="0074739C" w:rsidP="0074739C">
      <w:pPr>
        <w:pStyle w:val="NoSpacing"/>
        <w:numPr>
          <w:ilvl w:val="0"/>
          <w:numId w:val="3"/>
        </w:numPr>
      </w:pPr>
      <w:r>
        <w:t>Manuel J. Velez, San Diego Mesa College, Dept. of Chicana and Chicano Studies, Chair, Committee of Chairs</w:t>
      </w:r>
    </w:p>
    <w:p w14:paraId="1A4E1D83" w14:textId="79F1BBF9" w:rsidR="0074739C" w:rsidRDefault="0074739C" w:rsidP="0074739C">
      <w:pPr>
        <w:pStyle w:val="NoSpacing"/>
        <w:numPr>
          <w:ilvl w:val="0"/>
          <w:numId w:val="3"/>
        </w:numPr>
      </w:pPr>
      <w:proofErr w:type="spellStart"/>
      <w:r>
        <w:t>Cleavon</w:t>
      </w:r>
      <w:proofErr w:type="spellEnd"/>
      <w:r>
        <w:t xml:space="preserve"> Smith, Berkeley City College, Peralta Community College District Academic Senate President</w:t>
      </w:r>
    </w:p>
    <w:p w14:paraId="41CED7D9" w14:textId="77777777" w:rsidR="0074739C" w:rsidRDefault="0074739C" w:rsidP="0074739C">
      <w:pPr>
        <w:pStyle w:val="NoSpacing"/>
        <w:numPr>
          <w:ilvl w:val="0"/>
          <w:numId w:val="3"/>
        </w:numPr>
      </w:pPr>
      <w:r>
        <w:t>Mandy Liang, City College of San Francisco, Counseling, Senate President</w:t>
      </w:r>
    </w:p>
    <w:p w14:paraId="373B6E95" w14:textId="77777777" w:rsidR="0074739C" w:rsidRDefault="0074739C" w:rsidP="0074739C">
      <w:pPr>
        <w:pStyle w:val="NoSpacing"/>
        <w:numPr>
          <w:ilvl w:val="0"/>
          <w:numId w:val="3"/>
        </w:numPr>
      </w:pPr>
      <w:r>
        <w:t>Jesus Covarrubias, San Jose City College, Senate President</w:t>
      </w:r>
    </w:p>
    <w:p w14:paraId="7E0E204B" w14:textId="77777777" w:rsidR="0074739C" w:rsidRDefault="0074739C" w:rsidP="0074739C">
      <w:pPr>
        <w:pStyle w:val="NoSpacing"/>
        <w:numPr>
          <w:ilvl w:val="0"/>
          <w:numId w:val="3"/>
        </w:numPr>
      </w:pPr>
      <w:r>
        <w:t>Alejandro Lopez, San Jose City College, Counseling</w:t>
      </w:r>
    </w:p>
    <w:p w14:paraId="7EF9D919" w14:textId="77777777" w:rsidR="0074739C" w:rsidRDefault="0074739C" w:rsidP="0074739C">
      <w:pPr>
        <w:pStyle w:val="NoSpacing"/>
        <w:numPr>
          <w:ilvl w:val="0"/>
          <w:numId w:val="3"/>
        </w:numPr>
      </w:pPr>
      <w:r>
        <w:t xml:space="preserve">Chris Frazier, San Jose City College,  Math </w:t>
      </w:r>
    </w:p>
    <w:p w14:paraId="520A9E06" w14:textId="77777777" w:rsidR="0074739C" w:rsidRDefault="0074739C" w:rsidP="0074739C">
      <w:pPr>
        <w:pStyle w:val="NoSpacing"/>
        <w:numPr>
          <w:ilvl w:val="0"/>
          <w:numId w:val="3"/>
        </w:numPr>
      </w:pPr>
      <w:r>
        <w:t>Mayra Cruz, Foothill De Anza Community College District</w:t>
      </w:r>
    </w:p>
    <w:p w14:paraId="7C5D3573" w14:textId="77777777" w:rsidR="0074739C" w:rsidRDefault="0074739C" w:rsidP="0074739C">
      <w:pPr>
        <w:pStyle w:val="NoSpacing"/>
        <w:numPr>
          <w:ilvl w:val="0"/>
          <w:numId w:val="3"/>
        </w:numPr>
      </w:pPr>
      <w:r>
        <w:t>Phil Crawford, San Jose City College</w:t>
      </w:r>
    </w:p>
    <w:p w14:paraId="1ED884D9" w14:textId="77777777" w:rsidR="0074739C" w:rsidRDefault="0074739C" w:rsidP="0074739C">
      <w:pPr>
        <w:pStyle w:val="NoSpacing"/>
        <w:numPr>
          <w:ilvl w:val="0"/>
          <w:numId w:val="3"/>
        </w:numPr>
      </w:pPr>
      <w:r>
        <w:t xml:space="preserve">Silvester Henderson, Los </w:t>
      </w:r>
      <w:proofErr w:type="spellStart"/>
      <w:r>
        <w:t>Medanos</w:t>
      </w:r>
      <w:proofErr w:type="spellEnd"/>
      <w:r>
        <w:t xml:space="preserve"> College, Senate President</w:t>
      </w:r>
    </w:p>
    <w:p w14:paraId="736D4D46" w14:textId="77777777" w:rsidR="0074739C" w:rsidRDefault="0074739C" w:rsidP="0074739C">
      <w:pPr>
        <w:pStyle w:val="NoSpacing"/>
        <w:numPr>
          <w:ilvl w:val="0"/>
          <w:numId w:val="3"/>
        </w:numPr>
      </w:pPr>
      <w:r>
        <w:t xml:space="preserve">Dennis </w:t>
      </w:r>
      <w:proofErr w:type="spellStart"/>
      <w:r>
        <w:t>Meakin</w:t>
      </w:r>
      <w:proofErr w:type="spellEnd"/>
      <w:r>
        <w:t xml:space="preserve">, San Jose City College </w:t>
      </w:r>
    </w:p>
    <w:p w14:paraId="433A6B78" w14:textId="77777777" w:rsidR="0074739C" w:rsidRDefault="0074739C" w:rsidP="0074739C">
      <w:pPr>
        <w:pStyle w:val="NoSpacing"/>
        <w:numPr>
          <w:ilvl w:val="0"/>
          <w:numId w:val="3"/>
        </w:numPr>
      </w:pPr>
      <w:r>
        <w:t>Carlos Chavez, San Jose City College</w:t>
      </w:r>
    </w:p>
    <w:p w14:paraId="3339A9F2" w14:textId="77777777" w:rsidR="0074739C" w:rsidRDefault="0074739C" w:rsidP="0074739C">
      <w:pPr>
        <w:pStyle w:val="NoSpacing"/>
        <w:numPr>
          <w:ilvl w:val="0"/>
          <w:numId w:val="3"/>
        </w:numPr>
      </w:pPr>
      <w:r>
        <w:t xml:space="preserve">Michael </w:t>
      </w:r>
      <w:proofErr w:type="spellStart"/>
      <w:r>
        <w:t>Berke</w:t>
      </w:r>
      <w:proofErr w:type="spellEnd"/>
      <w:r>
        <w:t>, San Jose City College</w:t>
      </w:r>
    </w:p>
    <w:p w14:paraId="46396A1A" w14:textId="77777777" w:rsidR="0074739C" w:rsidRDefault="0074739C" w:rsidP="0074739C">
      <w:pPr>
        <w:pStyle w:val="NoSpacing"/>
        <w:numPr>
          <w:ilvl w:val="0"/>
          <w:numId w:val="3"/>
        </w:numPr>
      </w:pPr>
      <w:r>
        <w:t>Jose Cabrera, San Jose City College</w:t>
      </w:r>
    </w:p>
    <w:p w14:paraId="23A84256" w14:textId="77777777" w:rsidR="0074739C" w:rsidRDefault="0074739C" w:rsidP="0074739C">
      <w:pPr>
        <w:pStyle w:val="NoSpacing"/>
        <w:numPr>
          <w:ilvl w:val="0"/>
          <w:numId w:val="3"/>
        </w:numPr>
      </w:pPr>
      <w:r>
        <w:t xml:space="preserve">Eric </w:t>
      </w:r>
      <w:proofErr w:type="spellStart"/>
      <w:r>
        <w:t>Narveson</w:t>
      </w:r>
      <w:proofErr w:type="spellEnd"/>
      <w:r>
        <w:t xml:space="preserve">, Evergreen Valley College, Senate President </w:t>
      </w:r>
    </w:p>
    <w:p w14:paraId="09059D62" w14:textId="77777777" w:rsidR="0074739C" w:rsidRDefault="0074739C" w:rsidP="0074739C">
      <w:pPr>
        <w:pStyle w:val="NoSpacing"/>
        <w:numPr>
          <w:ilvl w:val="0"/>
          <w:numId w:val="3"/>
        </w:numPr>
      </w:pPr>
      <w:r>
        <w:t xml:space="preserve">Nicolas </w:t>
      </w:r>
      <w:proofErr w:type="spellStart"/>
      <w:r>
        <w:t>Fraire</w:t>
      </w:r>
      <w:proofErr w:type="spellEnd"/>
      <w:r>
        <w:t>,  San Jose City College</w:t>
      </w:r>
    </w:p>
    <w:p w14:paraId="37737EA9" w14:textId="77777777" w:rsidR="0074739C" w:rsidRDefault="0074739C" w:rsidP="0074739C">
      <w:pPr>
        <w:pStyle w:val="NoSpacing"/>
        <w:numPr>
          <w:ilvl w:val="0"/>
          <w:numId w:val="3"/>
        </w:numPr>
      </w:pPr>
      <w:r>
        <w:t>Justin Akers Chacon, San Diego City College, Senate President</w:t>
      </w:r>
    </w:p>
    <w:p w14:paraId="64CEECDD" w14:textId="77777777" w:rsidR="0074739C" w:rsidRDefault="0074739C" w:rsidP="0074739C">
      <w:pPr>
        <w:pStyle w:val="NoSpacing"/>
        <w:numPr>
          <w:ilvl w:val="0"/>
          <w:numId w:val="3"/>
        </w:numPr>
      </w:pPr>
      <w:r>
        <w:t>Jeffrey Hernandez, East Los Angeles College, Political Science</w:t>
      </w:r>
    </w:p>
    <w:p w14:paraId="4ABA4A43" w14:textId="77777777" w:rsidR="00230490" w:rsidRPr="00E12E19" w:rsidRDefault="00230490" w:rsidP="00E12E19">
      <w:pPr>
        <w:pStyle w:val="NoSpacing"/>
        <w:rPr>
          <w:sz w:val="24"/>
          <w:szCs w:val="24"/>
        </w:rPr>
      </w:pPr>
    </w:p>
    <w:sectPr w:rsidR="00230490" w:rsidRPr="00E12E19" w:rsidSect="00B3781D">
      <w:headerReference w:type="default" r:id="rId9"/>
      <w:headerReference w:type="firs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44C4D" w14:textId="77777777" w:rsidR="0054020D" w:rsidRDefault="0054020D" w:rsidP="00B3781D">
      <w:pPr>
        <w:spacing w:after="0" w:line="240" w:lineRule="auto"/>
      </w:pPr>
      <w:r>
        <w:separator/>
      </w:r>
    </w:p>
  </w:endnote>
  <w:endnote w:type="continuationSeparator" w:id="0">
    <w:p w14:paraId="7FE243FB" w14:textId="77777777" w:rsidR="0054020D" w:rsidRDefault="0054020D" w:rsidP="00B3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E58A0" w14:textId="77777777" w:rsidR="0054020D" w:rsidRDefault="0054020D" w:rsidP="00B3781D">
      <w:pPr>
        <w:spacing w:after="0" w:line="240" w:lineRule="auto"/>
      </w:pPr>
      <w:r>
        <w:separator/>
      </w:r>
    </w:p>
  </w:footnote>
  <w:footnote w:type="continuationSeparator" w:id="0">
    <w:p w14:paraId="3D1B96B7" w14:textId="77777777" w:rsidR="0054020D" w:rsidRDefault="0054020D" w:rsidP="00B3781D">
      <w:pPr>
        <w:spacing w:after="0" w:line="240" w:lineRule="auto"/>
      </w:pPr>
      <w:r>
        <w:continuationSeparator/>
      </w:r>
    </w:p>
  </w:footnote>
  <w:footnote w:id="1">
    <w:p w14:paraId="51FB1493" w14:textId="77777777" w:rsidR="00230490" w:rsidRDefault="00230490" w:rsidP="00B3781D">
      <w:pPr>
        <w:pStyle w:val="FootnoteText"/>
      </w:pPr>
      <w:r>
        <w:rPr>
          <w:rStyle w:val="FootnoteReference"/>
        </w:rPr>
        <w:footnoteRef/>
      </w:r>
      <w:r>
        <w:t xml:space="preserve"> </w:t>
      </w:r>
      <w:r w:rsidRPr="00CC6016">
        <w:t xml:space="preserve">Staff will review your item and provide additional resources to inform the Executive Committee discussion.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21FA" w14:textId="77777777" w:rsidR="00230490" w:rsidRPr="00714762" w:rsidRDefault="00230490" w:rsidP="00230490">
    <w:pPr>
      <w:pStyle w:val="Header"/>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8FFC" w14:textId="77777777" w:rsidR="00230490" w:rsidRDefault="00230490" w:rsidP="00230490">
    <w:pPr>
      <w:pStyle w:val="Header"/>
      <w:jc w:val="center"/>
      <w:rPr>
        <w:rFonts w:ascii="Times New Roman" w:hAnsi="Times New Roman" w:cs="Times New Roman"/>
      </w:rPr>
    </w:pPr>
    <w:r>
      <w:rPr>
        <w:rFonts w:ascii="Times New Roman" w:hAnsi="Times New Roman" w:cs="Times New Roman"/>
      </w:rPr>
      <w:t>REFERRED RESOLUTIONS</w:t>
    </w:r>
  </w:p>
  <w:p w14:paraId="680CA1C4" w14:textId="77777777" w:rsidR="00230490" w:rsidRPr="001F3C00" w:rsidRDefault="00230490" w:rsidP="00230490">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C90200"/>
    <w:multiLevelType w:val="hybridMultilevel"/>
    <w:tmpl w:val="BC30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42E6F"/>
    <w:multiLevelType w:val="hybridMultilevel"/>
    <w:tmpl w:val="3864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93"/>
    <w:rsid w:val="000136D3"/>
    <w:rsid w:val="00065FD4"/>
    <w:rsid w:val="000E0414"/>
    <w:rsid w:val="00230490"/>
    <w:rsid w:val="00261E81"/>
    <w:rsid w:val="002B6375"/>
    <w:rsid w:val="003B5793"/>
    <w:rsid w:val="004121AD"/>
    <w:rsid w:val="00413F8F"/>
    <w:rsid w:val="0054020D"/>
    <w:rsid w:val="0062464E"/>
    <w:rsid w:val="00682D70"/>
    <w:rsid w:val="006A6991"/>
    <w:rsid w:val="0074739C"/>
    <w:rsid w:val="00891BBA"/>
    <w:rsid w:val="008A168C"/>
    <w:rsid w:val="009609A4"/>
    <w:rsid w:val="00A2569A"/>
    <w:rsid w:val="00B3781D"/>
    <w:rsid w:val="00B50878"/>
    <w:rsid w:val="00B72DDC"/>
    <w:rsid w:val="00C009BA"/>
    <w:rsid w:val="00C25FC7"/>
    <w:rsid w:val="00CC6016"/>
    <w:rsid w:val="00D8338D"/>
    <w:rsid w:val="00D87FA0"/>
    <w:rsid w:val="00D90D11"/>
    <w:rsid w:val="00D92F81"/>
    <w:rsid w:val="00DF3E24"/>
    <w:rsid w:val="00E1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05B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1E8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378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781D"/>
    <w:rPr>
      <w:sz w:val="20"/>
      <w:szCs w:val="20"/>
    </w:rPr>
  </w:style>
  <w:style w:type="character" w:styleId="EndnoteReference">
    <w:name w:val="endnote reference"/>
    <w:basedOn w:val="DefaultParagraphFont"/>
    <w:uiPriority w:val="99"/>
    <w:semiHidden/>
    <w:unhideWhenUsed/>
    <w:rsid w:val="00B3781D"/>
    <w:rPr>
      <w:vertAlign w:val="superscript"/>
    </w:rPr>
  </w:style>
  <w:style w:type="paragraph" w:styleId="FootnoteText">
    <w:name w:val="footnote text"/>
    <w:basedOn w:val="Normal"/>
    <w:link w:val="FootnoteTextChar"/>
    <w:uiPriority w:val="99"/>
    <w:unhideWhenUsed/>
    <w:rsid w:val="00B3781D"/>
    <w:pPr>
      <w:spacing w:after="0" w:line="240" w:lineRule="auto"/>
    </w:pPr>
    <w:rPr>
      <w:sz w:val="20"/>
      <w:szCs w:val="20"/>
    </w:rPr>
  </w:style>
  <w:style w:type="character" w:customStyle="1" w:styleId="FootnoteTextChar">
    <w:name w:val="Footnote Text Char"/>
    <w:basedOn w:val="DefaultParagraphFont"/>
    <w:link w:val="FootnoteText"/>
    <w:uiPriority w:val="99"/>
    <w:rsid w:val="00B3781D"/>
    <w:rPr>
      <w:sz w:val="20"/>
      <w:szCs w:val="20"/>
    </w:rPr>
  </w:style>
  <w:style w:type="character" w:styleId="FootnoteReference">
    <w:name w:val="footnote reference"/>
    <w:basedOn w:val="DefaultParagraphFont"/>
    <w:uiPriority w:val="99"/>
    <w:unhideWhenUsed/>
    <w:rsid w:val="00B3781D"/>
    <w:rPr>
      <w:vertAlign w:val="superscript"/>
    </w:rPr>
  </w:style>
  <w:style w:type="paragraph" w:styleId="Header">
    <w:name w:val="header"/>
    <w:basedOn w:val="Normal"/>
    <w:link w:val="HeaderChar"/>
    <w:uiPriority w:val="99"/>
    <w:unhideWhenUsed/>
    <w:rsid w:val="00230490"/>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30490"/>
    <w:rPr>
      <w:rFonts w:eastAsiaTheme="minorEastAsia"/>
      <w:sz w:val="24"/>
      <w:szCs w:val="24"/>
    </w:rPr>
  </w:style>
  <w:style w:type="character" w:styleId="Hyperlink">
    <w:name w:val="Hyperlink"/>
    <w:basedOn w:val="DefaultParagraphFont"/>
    <w:uiPriority w:val="99"/>
    <w:rsid w:val="00230490"/>
    <w:rPr>
      <w:color w:val="0000FF" w:themeColor="hyperlink"/>
      <w:u w:val="single"/>
    </w:rPr>
  </w:style>
  <w:style w:type="paragraph" w:styleId="NoSpacing">
    <w:name w:val="No Spacing"/>
    <w:uiPriority w:val="1"/>
    <w:qFormat/>
    <w:rsid w:val="00230490"/>
    <w:pPr>
      <w:spacing w:after="0" w:line="240" w:lineRule="auto"/>
    </w:pPr>
  </w:style>
  <w:style w:type="paragraph" w:styleId="Footer">
    <w:name w:val="footer"/>
    <w:basedOn w:val="Normal"/>
    <w:link w:val="FooterChar"/>
    <w:uiPriority w:val="99"/>
    <w:unhideWhenUsed/>
    <w:rsid w:val="002304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0490"/>
  </w:style>
  <w:style w:type="character" w:customStyle="1" w:styleId="Heading2Char">
    <w:name w:val="Heading 2 Char"/>
    <w:basedOn w:val="DefaultParagraphFont"/>
    <w:link w:val="Heading2"/>
    <w:uiPriority w:val="9"/>
    <w:rsid w:val="00261E81"/>
    <w:rPr>
      <w:rFonts w:ascii="Times New Roman" w:hAnsi="Times New Roman" w:cs="Times New Roman"/>
      <w:b/>
      <w:bCs/>
      <w:sz w:val="36"/>
      <w:szCs w:val="36"/>
    </w:rPr>
  </w:style>
  <w:style w:type="character" w:styleId="Strong">
    <w:name w:val="Strong"/>
    <w:basedOn w:val="DefaultParagraphFont"/>
    <w:uiPriority w:val="22"/>
    <w:qFormat/>
    <w:rsid w:val="00261E81"/>
    <w:rPr>
      <w:b/>
      <w:bCs/>
    </w:rPr>
  </w:style>
  <w:style w:type="character" w:customStyle="1" w:styleId="apple-converted-space">
    <w:name w:val="apple-converted-space"/>
    <w:basedOn w:val="DefaultParagraphFont"/>
    <w:rsid w:val="00261E81"/>
  </w:style>
  <w:style w:type="paragraph" w:styleId="ListParagraph">
    <w:name w:val="List Paragraph"/>
    <w:basedOn w:val="Normal"/>
    <w:uiPriority w:val="34"/>
    <w:qFormat/>
    <w:rsid w:val="0074739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70510">
      <w:bodyDiv w:val="1"/>
      <w:marLeft w:val="0"/>
      <w:marRight w:val="0"/>
      <w:marTop w:val="0"/>
      <w:marBottom w:val="0"/>
      <w:divBdr>
        <w:top w:val="none" w:sz="0" w:space="0" w:color="auto"/>
        <w:left w:val="none" w:sz="0" w:space="0" w:color="auto"/>
        <w:bottom w:val="none" w:sz="0" w:space="0" w:color="auto"/>
        <w:right w:val="none" w:sz="0" w:space="0" w:color="auto"/>
      </w:divBdr>
      <w:divsChild>
        <w:div w:id="95172777">
          <w:marLeft w:val="0"/>
          <w:marRight w:val="0"/>
          <w:marTop w:val="0"/>
          <w:marBottom w:val="0"/>
          <w:divBdr>
            <w:top w:val="none" w:sz="0" w:space="0" w:color="auto"/>
            <w:left w:val="none" w:sz="0" w:space="0" w:color="auto"/>
            <w:bottom w:val="none" w:sz="0" w:space="0" w:color="auto"/>
            <w:right w:val="none" w:sz="0" w:space="0" w:color="auto"/>
          </w:divBdr>
          <w:divsChild>
            <w:div w:id="567571678">
              <w:marLeft w:val="0"/>
              <w:marRight w:val="0"/>
              <w:marTop w:val="0"/>
              <w:marBottom w:val="0"/>
              <w:divBdr>
                <w:top w:val="none" w:sz="0" w:space="0" w:color="auto"/>
                <w:left w:val="none" w:sz="0" w:space="0" w:color="auto"/>
                <w:bottom w:val="none" w:sz="0" w:space="0" w:color="auto"/>
                <w:right w:val="none" w:sz="0" w:space="0" w:color="auto"/>
              </w:divBdr>
              <w:divsChild>
                <w:div w:id="1389188006">
                  <w:marLeft w:val="0"/>
                  <w:marRight w:val="0"/>
                  <w:marTop w:val="0"/>
                  <w:marBottom w:val="0"/>
                  <w:divBdr>
                    <w:top w:val="none" w:sz="0" w:space="0" w:color="auto"/>
                    <w:left w:val="none" w:sz="0" w:space="0" w:color="auto"/>
                    <w:bottom w:val="none" w:sz="0" w:space="0" w:color="auto"/>
                    <w:right w:val="none" w:sz="0" w:space="0" w:color="auto"/>
                  </w:divBdr>
                  <w:divsChild>
                    <w:div w:id="1759599581">
                      <w:marLeft w:val="0"/>
                      <w:marRight w:val="0"/>
                      <w:marTop w:val="0"/>
                      <w:marBottom w:val="0"/>
                      <w:divBdr>
                        <w:top w:val="none" w:sz="0" w:space="0" w:color="auto"/>
                        <w:left w:val="none" w:sz="0" w:space="0" w:color="auto"/>
                        <w:bottom w:val="none" w:sz="0" w:space="0" w:color="auto"/>
                        <w:right w:val="none" w:sz="0" w:space="0" w:color="auto"/>
                      </w:divBdr>
                      <w:divsChild>
                        <w:div w:id="574046252">
                          <w:marLeft w:val="0"/>
                          <w:marRight w:val="0"/>
                          <w:marTop w:val="0"/>
                          <w:marBottom w:val="0"/>
                          <w:divBdr>
                            <w:top w:val="none" w:sz="0" w:space="0" w:color="auto"/>
                            <w:left w:val="none" w:sz="0" w:space="0" w:color="auto"/>
                            <w:bottom w:val="none" w:sz="0" w:space="0" w:color="auto"/>
                            <w:right w:val="none" w:sz="0" w:space="0" w:color="auto"/>
                          </w:divBdr>
                          <w:divsChild>
                            <w:div w:id="1891307345">
                              <w:marLeft w:val="0"/>
                              <w:marRight w:val="0"/>
                              <w:marTop w:val="0"/>
                              <w:marBottom w:val="0"/>
                              <w:divBdr>
                                <w:top w:val="none" w:sz="0" w:space="0" w:color="auto"/>
                                <w:left w:val="none" w:sz="0" w:space="0" w:color="auto"/>
                                <w:bottom w:val="none" w:sz="0" w:space="0" w:color="auto"/>
                                <w:right w:val="none" w:sz="0" w:space="0" w:color="auto"/>
                              </w:divBdr>
                              <w:divsChild>
                                <w:div w:id="4874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063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F94E-5FB3-4A83-821A-D5CB188E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Ashley Fisher</cp:lastModifiedBy>
  <cp:revision>2</cp:revision>
  <dcterms:created xsi:type="dcterms:W3CDTF">2017-11-21T23:35:00Z</dcterms:created>
  <dcterms:modified xsi:type="dcterms:W3CDTF">2017-11-21T23:35:00Z</dcterms:modified>
</cp:coreProperties>
</file>