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45" w:rsidRPr="002344B6" w:rsidRDefault="002344B6" w:rsidP="002344B6">
      <w:pPr>
        <w:jc w:val="center"/>
        <w:rPr>
          <w:b/>
          <w:u w:val="single"/>
        </w:rPr>
      </w:pPr>
      <w:r w:rsidRPr="002344B6">
        <w:rPr>
          <w:b/>
          <w:u w:val="single"/>
        </w:rPr>
        <w:t>Legislation: Keeping us Informed for the Common Good</w:t>
      </w:r>
    </w:p>
    <w:p w:rsidR="002344B6" w:rsidRDefault="002344B6" w:rsidP="007E4145">
      <w:pPr>
        <w:rPr>
          <w:b/>
          <w:u w:val="single"/>
        </w:rPr>
      </w:pPr>
    </w:p>
    <w:p w:rsidR="002344B6" w:rsidRDefault="002344B6" w:rsidP="002344B6">
      <w:pPr>
        <w:jc w:val="center"/>
      </w:pPr>
      <w:r w:rsidRPr="002344B6">
        <w:t>Br</w:t>
      </w:r>
      <w:r>
        <w:t>eakout at ASCCC Plenary Session</w:t>
      </w:r>
    </w:p>
    <w:p w:rsidR="002344B6" w:rsidRPr="002344B6" w:rsidRDefault="002344B6" w:rsidP="002344B6">
      <w:pPr>
        <w:jc w:val="center"/>
      </w:pPr>
      <w:r w:rsidRPr="002344B6">
        <w:t>November 4, 2010</w:t>
      </w:r>
    </w:p>
    <w:p w:rsidR="002344B6" w:rsidRDefault="002344B6" w:rsidP="002344B6">
      <w:pPr>
        <w:jc w:val="center"/>
      </w:pPr>
    </w:p>
    <w:p w:rsidR="002344B6" w:rsidRDefault="002344B6" w:rsidP="002344B6">
      <w:pPr>
        <w:jc w:val="center"/>
      </w:pPr>
      <w:r w:rsidRPr="002344B6">
        <w:t xml:space="preserve">Presenters: </w:t>
      </w:r>
    </w:p>
    <w:p w:rsidR="002344B6" w:rsidRPr="002344B6" w:rsidRDefault="002344B6" w:rsidP="002344B6">
      <w:pPr>
        <w:jc w:val="center"/>
      </w:pPr>
      <w:r w:rsidRPr="002344B6">
        <w:t>Michelle Pilati, ASCCC President and Dan Crump, ASCCC North Representative</w:t>
      </w:r>
    </w:p>
    <w:p w:rsidR="002344B6" w:rsidRPr="002344B6" w:rsidRDefault="002344B6" w:rsidP="002344B6">
      <w:pPr>
        <w:jc w:val="center"/>
      </w:pPr>
    </w:p>
    <w:p w:rsidR="002344B6" w:rsidRPr="00547FAB" w:rsidRDefault="002344B6" w:rsidP="007E4145">
      <w:pPr>
        <w:rPr>
          <w:b/>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2038"/>
        <w:gridCol w:w="2412"/>
        <w:gridCol w:w="3157"/>
        <w:gridCol w:w="1516"/>
      </w:tblGrid>
      <w:tr w:rsidR="006D7FEC" w:rsidRPr="00547FAB" w:rsidTr="006A2235">
        <w:tc>
          <w:tcPr>
            <w:tcW w:w="11016" w:type="dxa"/>
            <w:gridSpan w:val="5"/>
          </w:tcPr>
          <w:p w:rsidR="006D7FEC" w:rsidRPr="00547FAB" w:rsidRDefault="006D7FEC" w:rsidP="00400020">
            <w:pPr>
              <w:jc w:val="center"/>
              <w:rPr>
                <w:b/>
                <w:u w:val="single"/>
              </w:rPr>
            </w:pPr>
            <w:r w:rsidRPr="00547FAB">
              <w:rPr>
                <w:b/>
                <w:u w:val="single"/>
              </w:rPr>
              <w:t>LEGISLATION, 2011-12 Session</w:t>
            </w:r>
          </w:p>
          <w:p w:rsidR="006D7FEC" w:rsidRPr="00547FAB" w:rsidRDefault="006D7FEC" w:rsidP="00271150">
            <w:pPr>
              <w:autoSpaceDE w:val="0"/>
              <w:autoSpaceDN w:val="0"/>
              <w:adjustRightInd w:val="0"/>
              <w:rPr>
                <w:b/>
                <w:u w:val="single"/>
              </w:rPr>
            </w:pPr>
          </w:p>
        </w:tc>
      </w:tr>
      <w:tr w:rsidR="006D7FEC" w:rsidRPr="00547FAB" w:rsidTr="006D7FEC">
        <w:tc>
          <w:tcPr>
            <w:tcW w:w="1893" w:type="dxa"/>
          </w:tcPr>
          <w:p w:rsidR="006D7FEC" w:rsidRPr="00547FAB" w:rsidRDefault="006D7FEC" w:rsidP="006D7FEC">
            <w:r w:rsidRPr="00547FAB">
              <w:rPr>
                <w:b/>
                <w:u w:val="single"/>
              </w:rPr>
              <w:t>Bill #</w:t>
            </w:r>
          </w:p>
        </w:tc>
        <w:tc>
          <w:tcPr>
            <w:tcW w:w="2038" w:type="dxa"/>
          </w:tcPr>
          <w:p w:rsidR="006D7FEC" w:rsidRPr="00547FAB" w:rsidRDefault="006D7FEC" w:rsidP="007E4145">
            <w:pPr>
              <w:rPr>
                <w:b/>
              </w:rPr>
            </w:pPr>
            <w:r w:rsidRPr="00547FAB">
              <w:rPr>
                <w:b/>
              </w:rPr>
              <w:t>Author</w:t>
            </w:r>
          </w:p>
        </w:tc>
        <w:tc>
          <w:tcPr>
            <w:tcW w:w="2412" w:type="dxa"/>
          </w:tcPr>
          <w:p w:rsidR="006D7FEC" w:rsidRPr="00547FAB" w:rsidRDefault="006D7FEC" w:rsidP="007E4145">
            <w:pPr>
              <w:rPr>
                <w:b/>
              </w:rPr>
            </w:pPr>
            <w:r w:rsidRPr="00547FAB">
              <w:rPr>
                <w:b/>
              </w:rPr>
              <w:t>Subject</w:t>
            </w:r>
          </w:p>
        </w:tc>
        <w:tc>
          <w:tcPr>
            <w:tcW w:w="3157" w:type="dxa"/>
          </w:tcPr>
          <w:p w:rsidR="006D7FEC" w:rsidRPr="00547FAB" w:rsidRDefault="006D7FEC" w:rsidP="007E4145">
            <w:r w:rsidRPr="00547FAB">
              <w:rPr>
                <w:b/>
                <w:u w:val="single"/>
              </w:rPr>
              <w:t>Status</w:t>
            </w:r>
          </w:p>
        </w:tc>
        <w:tc>
          <w:tcPr>
            <w:tcW w:w="1516" w:type="dxa"/>
          </w:tcPr>
          <w:p w:rsidR="006D7FEC" w:rsidRPr="00547FAB" w:rsidRDefault="006D7FEC" w:rsidP="00502942">
            <w:pPr>
              <w:autoSpaceDE w:val="0"/>
              <w:autoSpaceDN w:val="0"/>
              <w:adjustRightInd w:val="0"/>
            </w:pPr>
            <w:r w:rsidRPr="00547FAB">
              <w:rPr>
                <w:b/>
                <w:u w:val="single"/>
              </w:rPr>
              <w:t>ASCCC Position</w:t>
            </w:r>
          </w:p>
        </w:tc>
      </w:tr>
      <w:tr w:rsidR="00C01BE9" w:rsidRPr="00547FAB" w:rsidTr="006D7FEC">
        <w:tc>
          <w:tcPr>
            <w:tcW w:w="1893" w:type="dxa"/>
          </w:tcPr>
          <w:p w:rsidR="00C01BE9" w:rsidRPr="00547FAB" w:rsidRDefault="00C01BE9" w:rsidP="00B12EB2">
            <w:r w:rsidRPr="00547FAB">
              <w:t xml:space="preserve">AB 130 </w:t>
            </w:r>
          </w:p>
        </w:tc>
        <w:tc>
          <w:tcPr>
            <w:tcW w:w="2038" w:type="dxa"/>
          </w:tcPr>
          <w:p w:rsidR="00C01BE9" w:rsidRPr="00547FAB" w:rsidRDefault="00C01BE9" w:rsidP="00B12EB2">
            <w:r w:rsidRPr="00547FAB">
              <w:t>Cedillo</w:t>
            </w:r>
          </w:p>
        </w:tc>
        <w:tc>
          <w:tcPr>
            <w:tcW w:w="2412" w:type="dxa"/>
          </w:tcPr>
          <w:p w:rsidR="00C01BE9" w:rsidRPr="00547FAB" w:rsidRDefault="00C01BE9" w:rsidP="00B12EB2">
            <w:r w:rsidRPr="00547FAB">
              <w:t>DREAM</w:t>
            </w:r>
          </w:p>
        </w:tc>
        <w:tc>
          <w:tcPr>
            <w:tcW w:w="3157" w:type="dxa"/>
          </w:tcPr>
          <w:p w:rsidR="00C01BE9" w:rsidRPr="00547FAB" w:rsidRDefault="00C01BE9" w:rsidP="00B12EB2">
            <w:r w:rsidRPr="00547FAB">
              <w:t>CHAPTERED</w:t>
            </w:r>
          </w:p>
        </w:tc>
        <w:tc>
          <w:tcPr>
            <w:tcW w:w="1516" w:type="dxa"/>
          </w:tcPr>
          <w:p w:rsidR="00C01BE9" w:rsidRPr="00547FAB" w:rsidRDefault="00C01BE9" w:rsidP="00B12EB2">
            <w:r w:rsidRPr="00547FAB">
              <w:t>Support</w:t>
            </w:r>
          </w:p>
        </w:tc>
      </w:tr>
      <w:tr w:rsidR="00C01BE9" w:rsidRPr="00547FAB" w:rsidTr="006D7FEC">
        <w:tc>
          <w:tcPr>
            <w:tcW w:w="1893" w:type="dxa"/>
          </w:tcPr>
          <w:p w:rsidR="00C01BE9" w:rsidRPr="00547FAB" w:rsidRDefault="00C01BE9" w:rsidP="00B12EB2">
            <w:r w:rsidRPr="00547FAB">
              <w:t xml:space="preserve">AB 131 </w:t>
            </w:r>
          </w:p>
        </w:tc>
        <w:tc>
          <w:tcPr>
            <w:tcW w:w="2038" w:type="dxa"/>
          </w:tcPr>
          <w:p w:rsidR="00C01BE9" w:rsidRPr="00547FAB" w:rsidRDefault="00C01BE9" w:rsidP="00B12EB2">
            <w:r w:rsidRPr="00547FAB">
              <w:t>Cedillo</w:t>
            </w:r>
          </w:p>
        </w:tc>
        <w:tc>
          <w:tcPr>
            <w:tcW w:w="2412" w:type="dxa"/>
          </w:tcPr>
          <w:p w:rsidR="00C01BE9" w:rsidRPr="00547FAB" w:rsidRDefault="00C01BE9" w:rsidP="00B12EB2">
            <w:r w:rsidRPr="00547FAB">
              <w:t>Financial aid for AB 540 students</w:t>
            </w:r>
          </w:p>
        </w:tc>
        <w:tc>
          <w:tcPr>
            <w:tcW w:w="3157" w:type="dxa"/>
          </w:tcPr>
          <w:p w:rsidR="00C01BE9" w:rsidRPr="00547FAB" w:rsidRDefault="00C01BE9" w:rsidP="00B12EB2">
            <w:r w:rsidRPr="00547FAB">
              <w:t>CHAPTERED</w:t>
            </w:r>
          </w:p>
        </w:tc>
        <w:tc>
          <w:tcPr>
            <w:tcW w:w="1516" w:type="dxa"/>
          </w:tcPr>
          <w:p w:rsidR="00C01BE9" w:rsidRPr="00547FAB" w:rsidRDefault="00C01BE9" w:rsidP="00B12EB2">
            <w:r w:rsidRPr="00547FAB">
              <w:t>Support</w:t>
            </w:r>
          </w:p>
        </w:tc>
      </w:tr>
      <w:tr w:rsidR="00C01BE9" w:rsidRPr="00547FAB" w:rsidTr="006D7FEC">
        <w:tc>
          <w:tcPr>
            <w:tcW w:w="1893" w:type="dxa"/>
          </w:tcPr>
          <w:p w:rsidR="00C01BE9" w:rsidRPr="00547FAB" w:rsidRDefault="00C01BE9" w:rsidP="001208D3">
            <w:r w:rsidRPr="00547FAB">
              <w:t xml:space="preserve">AB 194 </w:t>
            </w:r>
          </w:p>
        </w:tc>
        <w:tc>
          <w:tcPr>
            <w:tcW w:w="2038" w:type="dxa"/>
          </w:tcPr>
          <w:p w:rsidR="00C01BE9" w:rsidRPr="00547FAB" w:rsidRDefault="00C01BE9" w:rsidP="001208D3">
            <w:r w:rsidRPr="00547FAB">
              <w:t>Beall</w:t>
            </w:r>
          </w:p>
        </w:tc>
        <w:tc>
          <w:tcPr>
            <w:tcW w:w="2412" w:type="dxa"/>
          </w:tcPr>
          <w:p w:rsidR="00C01BE9" w:rsidRPr="00547FAB" w:rsidRDefault="00503DBD" w:rsidP="00503DBD">
            <w:r>
              <w:t>F</w:t>
            </w:r>
            <w:r w:rsidR="00C01BE9" w:rsidRPr="00547FAB">
              <w:t>oster youth: priority registration</w:t>
            </w:r>
          </w:p>
        </w:tc>
        <w:tc>
          <w:tcPr>
            <w:tcW w:w="3157" w:type="dxa"/>
          </w:tcPr>
          <w:p w:rsidR="00C01BE9" w:rsidRPr="00547FAB" w:rsidRDefault="00C01BE9" w:rsidP="001208D3">
            <w:pPr>
              <w:rPr>
                <w:u w:val="single"/>
              </w:rPr>
            </w:pPr>
            <w:r w:rsidRPr="00547FAB">
              <w:t>CHAPTERED</w:t>
            </w:r>
          </w:p>
        </w:tc>
        <w:tc>
          <w:tcPr>
            <w:tcW w:w="1516" w:type="dxa"/>
          </w:tcPr>
          <w:p w:rsidR="00C01BE9" w:rsidRPr="00547FAB" w:rsidRDefault="00C01BE9" w:rsidP="001208D3">
            <w:r w:rsidRPr="00547FAB">
              <w:t>Watch</w:t>
            </w:r>
          </w:p>
        </w:tc>
      </w:tr>
      <w:tr w:rsidR="00C01BE9" w:rsidRPr="00547FAB" w:rsidTr="006D7FEC">
        <w:tc>
          <w:tcPr>
            <w:tcW w:w="1893" w:type="dxa"/>
          </w:tcPr>
          <w:p w:rsidR="00C01BE9" w:rsidRPr="00547FAB" w:rsidRDefault="00C01BE9" w:rsidP="00A3606D">
            <w:r w:rsidRPr="00547FAB">
              <w:t>AB 230</w:t>
            </w:r>
          </w:p>
          <w:p w:rsidR="00C01BE9" w:rsidRPr="00547FAB" w:rsidRDefault="00C01BE9" w:rsidP="00A3606D"/>
        </w:tc>
        <w:tc>
          <w:tcPr>
            <w:tcW w:w="2038" w:type="dxa"/>
          </w:tcPr>
          <w:p w:rsidR="00C01BE9" w:rsidRPr="00547FAB" w:rsidRDefault="00C01BE9" w:rsidP="00A3606D">
            <w:r w:rsidRPr="00547FAB">
              <w:t>Carter</w:t>
            </w:r>
          </w:p>
        </w:tc>
        <w:tc>
          <w:tcPr>
            <w:tcW w:w="2412" w:type="dxa"/>
          </w:tcPr>
          <w:p w:rsidR="00C01BE9" w:rsidRPr="00547FAB" w:rsidRDefault="00C01BE9" w:rsidP="00A3606D">
            <w:r w:rsidRPr="00547FAB">
              <w:t>Middle college students: enrollment</w:t>
            </w:r>
          </w:p>
        </w:tc>
        <w:tc>
          <w:tcPr>
            <w:tcW w:w="3157" w:type="dxa"/>
          </w:tcPr>
          <w:p w:rsidR="00C01BE9" w:rsidRPr="00547FAB" w:rsidRDefault="00C01BE9" w:rsidP="00A3606D">
            <w:r w:rsidRPr="00547FAB">
              <w:t>CHAPTERED</w:t>
            </w:r>
          </w:p>
        </w:tc>
        <w:tc>
          <w:tcPr>
            <w:tcW w:w="1516" w:type="dxa"/>
          </w:tcPr>
          <w:p w:rsidR="00C01BE9" w:rsidRPr="00547FAB" w:rsidRDefault="00C01BE9" w:rsidP="00A3606D"/>
        </w:tc>
      </w:tr>
      <w:tr w:rsidR="00C01BE9" w:rsidRPr="00547FAB" w:rsidTr="006D7FEC">
        <w:tc>
          <w:tcPr>
            <w:tcW w:w="1893" w:type="dxa"/>
          </w:tcPr>
          <w:p w:rsidR="00C01BE9" w:rsidRPr="00547FAB" w:rsidRDefault="00C01BE9" w:rsidP="00F956D5">
            <w:r w:rsidRPr="00547FAB">
              <w:t>AB 620</w:t>
            </w:r>
          </w:p>
        </w:tc>
        <w:tc>
          <w:tcPr>
            <w:tcW w:w="2038" w:type="dxa"/>
          </w:tcPr>
          <w:p w:rsidR="00C01BE9" w:rsidRPr="00547FAB" w:rsidRDefault="00C01BE9" w:rsidP="00F956D5">
            <w:r w:rsidRPr="00547FAB">
              <w:t>Block</w:t>
            </w:r>
          </w:p>
        </w:tc>
        <w:tc>
          <w:tcPr>
            <w:tcW w:w="2412" w:type="dxa"/>
          </w:tcPr>
          <w:p w:rsidR="00C01BE9" w:rsidRPr="00547FAB" w:rsidRDefault="00C01BE9" w:rsidP="00F956D5">
            <w:r w:rsidRPr="00547FAB">
              <w:t>LGBT</w:t>
            </w:r>
          </w:p>
        </w:tc>
        <w:tc>
          <w:tcPr>
            <w:tcW w:w="3157" w:type="dxa"/>
          </w:tcPr>
          <w:p w:rsidR="00C01BE9" w:rsidRPr="00547FAB" w:rsidRDefault="00C01BE9" w:rsidP="00F956D5">
            <w:pPr>
              <w:rPr>
                <w:u w:val="single"/>
              </w:rPr>
            </w:pPr>
            <w:r w:rsidRPr="00547FAB">
              <w:t>CHAPTERED</w:t>
            </w:r>
          </w:p>
        </w:tc>
        <w:tc>
          <w:tcPr>
            <w:tcW w:w="1516" w:type="dxa"/>
          </w:tcPr>
          <w:p w:rsidR="00C01BE9" w:rsidRPr="00547FAB" w:rsidRDefault="00C01BE9" w:rsidP="00F956D5">
            <w:r w:rsidRPr="00547FAB">
              <w:t>Support</w:t>
            </w:r>
          </w:p>
        </w:tc>
      </w:tr>
      <w:tr w:rsidR="00C01BE9" w:rsidRPr="00547FAB" w:rsidTr="006D7FEC">
        <w:tc>
          <w:tcPr>
            <w:tcW w:w="1893" w:type="dxa"/>
          </w:tcPr>
          <w:p w:rsidR="00C01BE9" w:rsidRPr="00547FAB" w:rsidRDefault="00C01BE9" w:rsidP="0007643E">
            <w:r w:rsidRPr="00547FAB">
              <w:t xml:space="preserve">AB 743 </w:t>
            </w:r>
          </w:p>
        </w:tc>
        <w:tc>
          <w:tcPr>
            <w:tcW w:w="2038" w:type="dxa"/>
          </w:tcPr>
          <w:p w:rsidR="00C01BE9" w:rsidRPr="00547FAB" w:rsidRDefault="00C01BE9" w:rsidP="0007643E">
            <w:r w:rsidRPr="00547FAB">
              <w:t>Block</w:t>
            </w:r>
          </w:p>
        </w:tc>
        <w:tc>
          <w:tcPr>
            <w:tcW w:w="2412" w:type="dxa"/>
          </w:tcPr>
          <w:p w:rsidR="00C01BE9" w:rsidRPr="00547FAB" w:rsidRDefault="00C01BE9" w:rsidP="0007643E">
            <w:r w:rsidRPr="00547FAB">
              <w:t>Assessment</w:t>
            </w:r>
          </w:p>
        </w:tc>
        <w:tc>
          <w:tcPr>
            <w:tcW w:w="3157" w:type="dxa"/>
          </w:tcPr>
          <w:p w:rsidR="00C01BE9" w:rsidRPr="00547FAB" w:rsidRDefault="00C01BE9" w:rsidP="0007643E">
            <w:r w:rsidRPr="00547FAB">
              <w:t>CHAPTERED</w:t>
            </w:r>
          </w:p>
        </w:tc>
        <w:tc>
          <w:tcPr>
            <w:tcW w:w="1516" w:type="dxa"/>
          </w:tcPr>
          <w:p w:rsidR="00C01BE9" w:rsidRPr="00547FAB" w:rsidRDefault="00C01BE9" w:rsidP="0007643E">
            <w:r w:rsidRPr="00547FAB">
              <w:t>Watch</w:t>
            </w:r>
          </w:p>
        </w:tc>
      </w:tr>
      <w:tr w:rsidR="00C01BE9" w:rsidRPr="00547FAB" w:rsidTr="006D7FEC">
        <w:tc>
          <w:tcPr>
            <w:tcW w:w="1893" w:type="dxa"/>
          </w:tcPr>
          <w:p w:rsidR="00C01BE9" w:rsidRPr="00547FAB" w:rsidRDefault="00C01BE9" w:rsidP="0007643E">
            <w:r w:rsidRPr="00547FAB">
              <w:t>AB 795</w:t>
            </w:r>
          </w:p>
        </w:tc>
        <w:tc>
          <w:tcPr>
            <w:tcW w:w="2038" w:type="dxa"/>
          </w:tcPr>
          <w:p w:rsidR="00C01BE9" w:rsidRPr="00547FAB" w:rsidRDefault="00C01BE9" w:rsidP="0007643E">
            <w:r w:rsidRPr="00547FAB">
              <w:t>Block</w:t>
            </w:r>
          </w:p>
        </w:tc>
        <w:tc>
          <w:tcPr>
            <w:tcW w:w="2412" w:type="dxa"/>
          </w:tcPr>
          <w:p w:rsidR="00C01BE9" w:rsidRPr="00547FAB" w:rsidRDefault="00C01BE9" w:rsidP="0007643E">
            <w:r w:rsidRPr="00547FAB">
              <w:t>Smoke-free</w:t>
            </w:r>
          </w:p>
        </w:tc>
        <w:tc>
          <w:tcPr>
            <w:tcW w:w="3157" w:type="dxa"/>
          </w:tcPr>
          <w:p w:rsidR="00C01BE9" w:rsidRPr="00547FAB" w:rsidRDefault="00C01BE9" w:rsidP="0007643E">
            <w:r w:rsidRPr="00547FAB">
              <w:t>CHAPTERED</w:t>
            </w:r>
          </w:p>
        </w:tc>
        <w:tc>
          <w:tcPr>
            <w:tcW w:w="1516" w:type="dxa"/>
          </w:tcPr>
          <w:p w:rsidR="00C01BE9" w:rsidRPr="00547FAB" w:rsidRDefault="00C01BE9" w:rsidP="0007643E"/>
        </w:tc>
      </w:tr>
      <w:tr w:rsidR="00C01BE9" w:rsidRPr="00547FAB" w:rsidTr="006D7FEC">
        <w:tc>
          <w:tcPr>
            <w:tcW w:w="1893" w:type="dxa"/>
          </w:tcPr>
          <w:p w:rsidR="00C01BE9" w:rsidRPr="00547FAB" w:rsidRDefault="00C01BE9" w:rsidP="004F3484">
            <w:r w:rsidRPr="00547FAB">
              <w:t xml:space="preserve">AB 1029 </w:t>
            </w:r>
          </w:p>
        </w:tc>
        <w:tc>
          <w:tcPr>
            <w:tcW w:w="2038" w:type="dxa"/>
          </w:tcPr>
          <w:p w:rsidR="00C01BE9" w:rsidRPr="00547FAB" w:rsidRDefault="00C01BE9" w:rsidP="004F3484">
            <w:r w:rsidRPr="00547FAB">
              <w:t>Lara</w:t>
            </w:r>
          </w:p>
        </w:tc>
        <w:tc>
          <w:tcPr>
            <w:tcW w:w="2412" w:type="dxa"/>
          </w:tcPr>
          <w:p w:rsidR="00C01BE9" w:rsidRPr="00547FAB" w:rsidRDefault="00C01BE9" w:rsidP="004F3484">
            <w:r w:rsidRPr="00547FAB">
              <w:t>Course Approval</w:t>
            </w:r>
          </w:p>
        </w:tc>
        <w:tc>
          <w:tcPr>
            <w:tcW w:w="3157" w:type="dxa"/>
          </w:tcPr>
          <w:p w:rsidR="00C01BE9" w:rsidRPr="00547FAB" w:rsidRDefault="00C01BE9" w:rsidP="004F3484">
            <w:r w:rsidRPr="00547FAB">
              <w:t>CHAPTERED</w:t>
            </w:r>
          </w:p>
        </w:tc>
        <w:tc>
          <w:tcPr>
            <w:tcW w:w="1516" w:type="dxa"/>
          </w:tcPr>
          <w:p w:rsidR="00C01BE9" w:rsidRPr="00547FAB" w:rsidRDefault="00C01BE9" w:rsidP="004F3484"/>
        </w:tc>
      </w:tr>
      <w:tr w:rsidR="00C01BE9" w:rsidRPr="00547FAB" w:rsidTr="006D7FEC">
        <w:tc>
          <w:tcPr>
            <w:tcW w:w="1893" w:type="dxa"/>
          </w:tcPr>
          <w:p w:rsidR="00C01BE9" w:rsidRPr="00547FAB" w:rsidRDefault="00C01BE9" w:rsidP="004F3484">
            <w:r w:rsidRPr="00547FAB">
              <w:t xml:space="preserve">AB 1056 </w:t>
            </w:r>
          </w:p>
        </w:tc>
        <w:tc>
          <w:tcPr>
            <w:tcW w:w="2038" w:type="dxa"/>
          </w:tcPr>
          <w:p w:rsidR="00C01BE9" w:rsidRPr="00547FAB" w:rsidRDefault="00C01BE9" w:rsidP="004F3484">
            <w:r w:rsidRPr="00547FAB">
              <w:t>Fong</w:t>
            </w:r>
          </w:p>
        </w:tc>
        <w:tc>
          <w:tcPr>
            <w:tcW w:w="2412" w:type="dxa"/>
          </w:tcPr>
          <w:p w:rsidR="00C01BE9" w:rsidRPr="00547FAB" w:rsidRDefault="00C01BE9" w:rsidP="004F3484">
            <w:r w:rsidRPr="00547FAB">
              <w:t>E-transcripts</w:t>
            </w:r>
          </w:p>
        </w:tc>
        <w:tc>
          <w:tcPr>
            <w:tcW w:w="3157" w:type="dxa"/>
          </w:tcPr>
          <w:p w:rsidR="00C01BE9" w:rsidRPr="00547FAB" w:rsidRDefault="00C01BE9" w:rsidP="004F3484">
            <w:r w:rsidRPr="00547FAB">
              <w:t>CHAPTERED</w:t>
            </w:r>
          </w:p>
        </w:tc>
        <w:tc>
          <w:tcPr>
            <w:tcW w:w="1516" w:type="dxa"/>
          </w:tcPr>
          <w:p w:rsidR="00C01BE9" w:rsidRPr="00547FAB" w:rsidRDefault="00C01BE9" w:rsidP="004F3484">
            <w:r w:rsidRPr="00547FAB">
              <w:t>Support</w:t>
            </w:r>
          </w:p>
        </w:tc>
      </w:tr>
      <w:tr w:rsidR="00C01BE9" w:rsidRPr="00547FAB" w:rsidTr="006D7FEC">
        <w:tc>
          <w:tcPr>
            <w:tcW w:w="1893" w:type="dxa"/>
          </w:tcPr>
          <w:p w:rsidR="00C01BE9" w:rsidRPr="00547FAB" w:rsidRDefault="00C01BE9" w:rsidP="004139D9">
            <w:r w:rsidRPr="00547FAB">
              <w:t>AB 1330</w:t>
            </w:r>
          </w:p>
        </w:tc>
        <w:tc>
          <w:tcPr>
            <w:tcW w:w="2038" w:type="dxa"/>
          </w:tcPr>
          <w:p w:rsidR="00C01BE9" w:rsidRPr="00547FAB" w:rsidRDefault="00C01BE9" w:rsidP="004139D9">
            <w:r w:rsidRPr="00547FAB">
              <w:t>Furutani</w:t>
            </w:r>
          </w:p>
        </w:tc>
        <w:tc>
          <w:tcPr>
            <w:tcW w:w="2412" w:type="dxa"/>
          </w:tcPr>
          <w:p w:rsidR="00C01BE9" w:rsidRPr="00547FAB" w:rsidRDefault="00C01BE9" w:rsidP="004139D9">
            <w:r w:rsidRPr="00547FAB">
              <w:t>High School grad requirements and CTE</w:t>
            </w:r>
          </w:p>
        </w:tc>
        <w:tc>
          <w:tcPr>
            <w:tcW w:w="3157" w:type="dxa"/>
          </w:tcPr>
          <w:p w:rsidR="00C01BE9" w:rsidRPr="00547FAB" w:rsidRDefault="00C01BE9" w:rsidP="004139D9">
            <w:r w:rsidRPr="00547FAB">
              <w:t>CHAPTERED</w:t>
            </w: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4139D9">
            <w:r w:rsidRPr="00547FAB">
              <w:t>SB 79</w:t>
            </w:r>
          </w:p>
          <w:p w:rsidR="00C01BE9" w:rsidRPr="00547FAB" w:rsidRDefault="00C01BE9" w:rsidP="004139D9"/>
        </w:tc>
        <w:tc>
          <w:tcPr>
            <w:tcW w:w="2038" w:type="dxa"/>
          </w:tcPr>
          <w:p w:rsidR="00C01BE9" w:rsidRPr="00547FAB" w:rsidRDefault="00C01BE9" w:rsidP="004139D9"/>
        </w:tc>
        <w:tc>
          <w:tcPr>
            <w:tcW w:w="2412" w:type="dxa"/>
          </w:tcPr>
          <w:p w:rsidR="00C01BE9" w:rsidRPr="00547FAB" w:rsidRDefault="00C01BE9" w:rsidP="004139D9">
            <w:r w:rsidRPr="00547FAB">
              <w:t>State Agency Investment Fund</w:t>
            </w:r>
          </w:p>
        </w:tc>
        <w:tc>
          <w:tcPr>
            <w:tcW w:w="3157" w:type="dxa"/>
          </w:tcPr>
          <w:p w:rsidR="00C01BE9" w:rsidRPr="00547FAB" w:rsidRDefault="00C01BE9" w:rsidP="004139D9">
            <w:r w:rsidRPr="00547FAB">
              <w:t>CHAPTERED</w:t>
            </w: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C945FF">
            <w:r w:rsidRPr="00547FAB">
              <w:t>SB 532</w:t>
            </w:r>
          </w:p>
        </w:tc>
        <w:tc>
          <w:tcPr>
            <w:tcW w:w="2038" w:type="dxa"/>
          </w:tcPr>
          <w:p w:rsidR="00C01BE9" w:rsidRPr="00547FAB" w:rsidRDefault="00C01BE9" w:rsidP="00C945FF">
            <w:pPr>
              <w:autoSpaceDE w:val="0"/>
              <w:autoSpaceDN w:val="0"/>
              <w:adjustRightInd w:val="0"/>
            </w:pPr>
            <w:r w:rsidRPr="00547FAB">
              <w:t>Hernandez</w:t>
            </w:r>
          </w:p>
        </w:tc>
        <w:tc>
          <w:tcPr>
            <w:tcW w:w="2412" w:type="dxa"/>
          </w:tcPr>
          <w:p w:rsidR="00C01BE9" w:rsidRPr="00547FAB" w:rsidRDefault="00C01BE9" w:rsidP="00C945FF">
            <w:pPr>
              <w:autoSpaceDE w:val="0"/>
              <w:autoSpaceDN w:val="0"/>
              <w:adjustRightInd w:val="0"/>
            </w:pPr>
            <w:r w:rsidRPr="00547FAB">
              <w:t>International Baccalaureate</w:t>
            </w:r>
          </w:p>
        </w:tc>
        <w:tc>
          <w:tcPr>
            <w:tcW w:w="3157" w:type="dxa"/>
          </w:tcPr>
          <w:p w:rsidR="00C01BE9" w:rsidRPr="00547FAB" w:rsidRDefault="00C01BE9" w:rsidP="00C945FF">
            <w:pPr>
              <w:autoSpaceDE w:val="0"/>
              <w:autoSpaceDN w:val="0"/>
              <w:adjustRightInd w:val="0"/>
            </w:pPr>
            <w:r w:rsidRPr="00547FAB">
              <w:t>CHAPTERED</w:t>
            </w: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C945FF">
            <w:r w:rsidRPr="00547FAB">
              <w:t>SB 650</w:t>
            </w:r>
          </w:p>
          <w:p w:rsidR="00C01BE9" w:rsidRPr="00547FAB" w:rsidRDefault="00C01BE9" w:rsidP="00C945FF"/>
        </w:tc>
        <w:tc>
          <w:tcPr>
            <w:tcW w:w="2038" w:type="dxa"/>
          </w:tcPr>
          <w:p w:rsidR="00C01BE9" w:rsidRPr="00547FAB" w:rsidRDefault="00C01BE9" w:rsidP="00C945FF">
            <w:pPr>
              <w:autoSpaceDE w:val="0"/>
              <w:autoSpaceDN w:val="0"/>
              <w:adjustRightInd w:val="0"/>
              <w:rPr>
                <w:iCs/>
                <w:color w:val="auto"/>
              </w:rPr>
            </w:pPr>
            <w:r w:rsidRPr="00547FAB">
              <w:t>Lowenthal</w:t>
            </w:r>
          </w:p>
        </w:tc>
        <w:tc>
          <w:tcPr>
            <w:tcW w:w="2412" w:type="dxa"/>
          </w:tcPr>
          <w:p w:rsidR="00C01BE9" w:rsidRPr="00547FAB" w:rsidRDefault="00C01BE9" w:rsidP="00C945FF">
            <w:pPr>
              <w:autoSpaceDE w:val="0"/>
              <w:autoSpaceDN w:val="0"/>
              <w:adjustRightInd w:val="0"/>
              <w:rPr>
                <w:iCs/>
                <w:color w:val="auto"/>
              </w:rPr>
            </w:pPr>
            <w:r w:rsidRPr="00547FAB">
              <w:rPr>
                <w:iCs/>
                <w:color w:val="auto"/>
              </w:rPr>
              <w:t>Long Beach Promise</w:t>
            </w:r>
          </w:p>
        </w:tc>
        <w:tc>
          <w:tcPr>
            <w:tcW w:w="3157" w:type="dxa"/>
          </w:tcPr>
          <w:p w:rsidR="00C01BE9" w:rsidRPr="00547FAB" w:rsidRDefault="00C01BE9" w:rsidP="00C945FF">
            <w:pPr>
              <w:autoSpaceDE w:val="0"/>
              <w:autoSpaceDN w:val="0"/>
              <w:adjustRightInd w:val="0"/>
              <w:rPr>
                <w:iCs/>
                <w:color w:val="auto"/>
              </w:rPr>
            </w:pPr>
            <w:r w:rsidRPr="00547FAB">
              <w:t>CHAPTERED</w:t>
            </w: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347646">
            <w:r w:rsidRPr="00547FAB">
              <w:t>SB 940</w:t>
            </w:r>
          </w:p>
        </w:tc>
        <w:tc>
          <w:tcPr>
            <w:tcW w:w="2038" w:type="dxa"/>
          </w:tcPr>
          <w:p w:rsidR="00C01BE9" w:rsidRPr="00547FAB" w:rsidRDefault="00C01BE9" w:rsidP="00347646">
            <w:pPr>
              <w:autoSpaceDE w:val="0"/>
              <w:autoSpaceDN w:val="0"/>
              <w:adjustRightInd w:val="0"/>
              <w:rPr>
                <w:u w:val="single"/>
              </w:rPr>
            </w:pPr>
            <w:r w:rsidRPr="00547FAB">
              <w:t>Cmte on Ed</w:t>
            </w:r>
          </w:p>
        </w:tc>
        <w:tc>
          <w:tcPr>
            <w:tcW w:w="2412" w:type="dxa"/>
          </w:tcPr>
          <w:p w:rsidR="00C01BE9" w:rsidRPr="00547FAB" w:rsidRDefault="00C01BE9" w:rsidP="00347646">
            <w:pPr>
              <w:autoSpaceDE w:val="0"/>
              <w:autoSpaceDN w:val="0"/>
              <w:adjustRightInd w:val="0"/>
            </w:pPr>
            <w:r w:rsidRPr="00547FAB">
              <w:t>Clean-up language on SB 1440</w:t>
            </w:r>
          </w:p>
        </w:tc>
        <w:tc>
          <w:tcPr>
            <w:tcW w:w="3157" w:type="dxa"/>
          </w:tcPr>
          <w:p w:rsidR="00C01BE9" w:rsidRPr="00547FAB" w:rsidRDefault="00C01BE9" w:rsidP="00347646">
            <w:pPr>
              <w:autoSpaceDE w:val="0"/>
              <w:autoSpaceDN w:val="0"/>
              <w:adjustRightInd w:val="0"/>
            </w:pPr>
            <w:r w:rsidRPr="00547FAB">
              <w:t>CHAPTERED</w:t>
            </w:r>
          </w:p>
        </w:tc>
        <w:tc>
          <w:tcPr>
            <w:tcW w:w="1516" w:type="dxa"/>
          </w:tcPr>
          <w:p w:rsidR="00C01BE9" w:rsidRPr="00547FAB" w:rsidRDefault="00C01BE9" w:rsidP="00C94F8D"/>
        </w:tc>
      </w:tr>
      <w:tr w:rsidR="00C01BE9" w:rsidRPr="00547FAB" w:rsidTr="00542124">
        <w:tc>
          <w:tcPr>
            <w:tcW w:w="11016" w:type="dxa"/>
            <w:gridSpan w:val="5"/>
          </w:tcPr>
          <w:p w:rsidR="00C01BE9" w:rsidRPr="00547FAB" w:rsidRDefault="00C01BE9" w:rsidP="00C94F8D"/>
        </w:tc>
      </w:tr>
      <w:tr w:rsidR="00C01BE9" w:rsidRPr="00547FAB" w:rsidTr="006D7FEC">
        <w:tc>
          <w:tcPr>
            <w:tcW w:w="1893" w:type="dxa"/>
          </w:tcPr>
          <w:p w:rsidR="00C01BE9" w:rsidRPr="00547FAB" w:rsidRDefault="00C01BE9" w:rsidP="003641E8">
            <w:r w:rsidRPr="00547FAB">
              <w:t xml:space="preserve">AB 91 </w:t>
            </w:r>
          </w:p>
        </w:tc>
        <w:tc>
          <w:tcPr>
            <w:tcW w:w="2038" w:type="dxa"/>
          </w:tcPr>
          <w:p w:rsidR="00C01BE9" w:rsidRPr="00547FAB" w:rsidRDefault="00C01BE9" w:rsidP="003641E8">
            <w:r w:rsidRPr="00547FAB">
              <w:t>Portantino</w:t>
            </w:r>
          </w:p>
        </w:tc>
        <w:tc>
          <w:tcPr>
            <w:tcW w:w="2412" w:type="dxa"/>
          </w:tcPr>
          <w:p w:rsidR="00C01BE9" w:rsidRPr="00547FAB" w:rsidRDefault="00C01BE9" w:rsidP="003641E8">
            <w:r w:rsidRPr="00547FAB">
              <w:t>Student aid</w:t>
            </w:r>
          </w:p>
        </w:tc>
        <w:tc>
          <w:tcPr>
            <w:tcW w:w="3157" w:type="dxa"/>
          </w:tcPr>
          <w:p w:rsidR="00C01BE9" w:rsidRPr="00547FAB" w:rsidRDefault="00C01BE9" w:rsidP="003641E8">
            <w:r w:rsidRPr="00547FAB">
              <w:t>VETOED</w:t>
            </w:r>
          </w:p>
        </w:tc>
        <w:tc>
          <w:tcPr>
            <w:tcW w:w="1516" w:type="dxa"/>
          </w:tcPr>
          <w:p w:rsidR="00C01BE9" w:rsidRPr="00547FAB" w:rsidRDefault="00C01BE9" w:rsidP="003641E8">
            <w:r w:rsidRPr="00547FAB">
              <w:t>Watch</w:t>
            </w:r>
          </w:p>
        </w:tc>
      </w:tr>
      <w:tr w:rsidR="00502942" w:rsidRPr="00547FAB" w:rsidTr="006D54DA">
        <w:tc>
          <w:tcPr>
            <w:tcW w:w="11016" w:type="dxa"/>
            <w:gridSpan w:val="5"/>
          </w:tcPr>
          <w:p w:rsidR="00502942" w:rsidRDefault="00502942" w:rsidP="005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547FAB">
              <w:rPr>
                <w:color w:val="auto"/>
              </w:rPr>
              <w:t>Governor’s Veto Message--"This bill orders the Chancellor of the Community Colleges to set up a pilot program at local campuses to figure out how to motivate their students to apply for financial aid.  This is a matter that each community college can handle on its own."</w:t>
            </w:r>
          </w:p>
          <w:p w:rsidR="00547FAB" w:rsidRPr="00547FAB" w:rsidRDefault="00547FAB" w:rsidP="005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01BE9" w:rsidRPr="00547FAB" w:rsidTr="006D7FEC">
        <w:tc>
          <w:tcPr>
            <w:tcW w:w="1893" w:type="dxa"/>
          </w:tcPr>
          <w:p w:rsidR="00C01BE9" w:rsidRPr="00547FAB" w:rsidRDefault="00C01BE9" w:rsidP="0068304D">
            <w:r w:rsidRPr="00547FAB">
              <w:t xml:space="preserve">AB 288 </w:t>
            </w:r>
          </w:p>
        </w:tc>
        <w:tc>
          <w:tcPr>
            <w:tcW w:w="2038" w:type="dxa"/>
          </w:tcPr>
          <w:p w:rsidR="00C01BE9" w:rsidRPr="00547FAB" w:rsidRDefault="00C01BE9" w:rsidP="0068304D">
            <w:r w:rsidRPr="00547FAB">
              <w:t>Fong</w:t>
            </w:r>
          </w:p>
        </w:tc>
        <w:tc>
          <w:tcPr>
            <w:tcW w:w="2412" w:type="dxa"/>
          </w:tcPr>
          <w:p w:rsidR="00C01BE9" w:rsidRPr="00547FAB" w:rsidRDefault="00C01BE9" w:rsidP="0068304D">
            <w:r w:rsidRPr="00547FAB">
              <w:t>Expulsion</w:t>
            </w:r>
          </w:p>
        </w:tc>
        <w:tc>
          <w:tcPr>
            <w:tcW w:w="3157" w:type="dxa"/>
          </w:tcPr>
          <w:p w:rsidR="00C01BE9" w:rsidRPr="00547FAB" w:rsidRDefault="00C01BE9" w:rsidP="0068304D">
            <w:pPr>
              <w:rPr>
                <w:u w:val="single"/>
              </w:rPr>
            </w:pPr>
            <w:r w:rsidRPr="00547FAB">
              <w:t>VETOED</w:t>
            </w:r>
          </w:p>
        </w:tc>
        <w:tc>
          <w:tcPr>
            <w:tcW w:w="1516" w:type="dxa"/>
          </w:tcPr>
          <w:p w:rsidR="00C01BE9" w:rsidRPr="00547FAB" w:rsidRDefault="00C01BE9" w:rsidP="0068304D">
            <w:r w:rsidRPr="00547FAB">
              <w:t>Watch</w:t>
            </w:r>
          </w:p>
        </w:tc>
      </w:tr>
      <w:tr w:rsidR="00C01BE9" w:rsidRPr="00547FAB" w:rsidTr="003D05A3">
        <w:tc>
          <w:tcPr>
            <w:tcW w:w="11016" w:type="dxa"/>
            <w:gridSpan w:val="5"/>
          </w:tcPr>
          <w:p w:rsidR="00C01BE9" w:rsidRDefault="00502942" w:rsidP="005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547FAB">
              <w:rPr>
                <w:color w:val="auto"/>
              </w:rPr>
              <w:t>Governor’s Veto Message---"Requiring every community college to follow a uniform process for evaluating a student expulsion taken by another district adds unnecessary burdens and costs that the state will have to reimburse.  I invite Chancellor Scott and the California Community       Colleges Board of Governors to work with local districts to craft a more flexible and cost-effective approach to enable districts to share critical information about student expulsions."</w:t>
            </w:r>
          </w:p>
          <w:p w:rsidR="00547FAB" w:rsidRPr="00547FAB" w:rsidRDefault="00547FAB" w:rsidP="005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02942" w:rsidRPr="00547FAB" w:rsidTr="00A73DD4">
        <w:tc>
          <w:tcPr>
            <w:tcW w:w="11016" w:type="dxa"/>
            <w:gridSpan w:val="5"/>
          </w:tcPr>
          <w:p w:rsidR="00502942" w:rsidRPr="00547FAB" w:rsidRDefault="00502942" w:rsidP="00C94F8D"/>
        </w:tc>
      </w:tr>
      <w:tr w:rsidR="00C01BE9" w:rsidRPr="00547FAB" w:rsidTr="006D7FEC">
        <w:tc>
          <w:tcPr>
            <w:tcW w:w="1893" w:type="dxa"/>
          </w:tcPr>
          <w:p w:rsidR="00C01BE9" w:rsidRPr="00547FAB" w:rsidRDefault="00C01BE9" w:rsidP="006D7FEC">
            <w:r w:rsidRPr="00547FAB">
              <w:t xml:space="preserve">AB 2  </w:t>
            </w:r>
          </w:p>
        </w:tc>
        <w:tc>
          <w:tcPr>
            <w:tcW w:w="2038" w:type="dxa"/>
          </w:tcPr>
          <w:p w:rsidR="00C01BE9" w:rsidRPr="00547FAB" w:rsidRDefault="00C01BE9" w:rsidP="007E4145">
            <w:r w:rsidRPr="00547FAB">
              <w:t>Portantino</w:t>
            </w:r>
          </w:p>
        </w:tc>
        <w:tc>
          <w:tcPr>
            <w:tcW w:w="2412" w:type="dxa"/>
          </w:tcPr>
          <w:p w:rsidR="00C01BE9" w:rsidRPr="00547FAB" w:rsidRDefault="00C01BE9" w:rsidP="007E4145">
            <w:r w:rsidRPr="00547FAB">
              <w:t>Econ Commission</w:t>
            </w:r>
          </w:p>
        </w:tc>
        <w:tc>
          <w:tcPr>
            <w:tcW w:w="3157" w:type="dxa"/>
          </w:tcPr>
          <w:p w:rsidR="00C01BE9" w:rsidRPr="00547FAB" w:rsidRDefault="00C01BE9" w:rsidP="007E4145">
            <w:r w:rsidRPr="00547FAB">
              <w:t>2-YR BILL</w:t>
            </w:r>
          </w:p>
        </w:tc>
        <w:tc>
          <w:tcPr>
            <w:tcW w:w="1516" w:type="dxa"/>
          </w:tcPr>
          <w:p w:rsidR="00C01BE9" w:rsidRPr="00547FAB" w:rsidRDefault="00C01BE9" w:rsidP="00C94F8D">
            <w:r w:rsidRPr="00547FAB">
              <w:t>Watch</w:t>
            </w:r>
          </w:p>
        </w:tc>
      </w:tr>
      <w:tr w:rsidR="00C01BE9" w:rsidRPr="00547FAB" w:rsidTr="006D7FEC">
        <w:tc>
          <w:tcPr>
            <w:tcW w:w="1893" w:type="dxa"/>
          </w:tcPr>
          <w:p w:rsidR="00C01BE9" w:rsidRPr="00547FAB" w:rsidRDefault="00C01BE9" w:rsidP="006D7FEC">
            <w:r w:rsidRPr="00547FAB">
              <w:t xml:space="preserve">AB 160 </w:t>
            </w:r>
          </w:p>
        </w:tc>
        <w:tc>
          <w:tcPr>
            <w:tcW w:w="2038" w:type="dxa"/>
          </w:tcPr>
          <w:p w:rsidR="00C01BE9" w:rsidRPr="00547FAB" w:rsidRDefault="00C01BE9" w:rsidP="007E4145">
            <w:r w:rsidRPr="00547FAB">
              <w:t>Portantino</w:t>
            </w:r>
          </w:p>
        </w:tc>
        <w:tc>
          <w:tcPr>
            <w:tcW w:w="2412" w:type="dxa"/>
          </w:tcPr>
          <w:p w:rsidR="00C01BE9" w:rsidRPr="00547FAB" w:rsidRDefault="00C01BE9" w:rsidP="007E4145">
            <w:r w:rsidRPr="00547FAB">
              <w:t>Concurrent enrollment</w:t>
            </w:r>
          </w:p>
        </w:tc>
        <w:tc>
          <w:tcPr>
            <w:tcW w:w="3157" w:type="dxa"/>
          </w:tcPr>
          <w:p w:rsidR="00C01BE9" w:rsidRPr="00547FAB" w:rsidRDefault="00C01BE9" w:rsidP="007E4145">
            <w:r w:rsidRPr="00547FAB">
              <w:t>2-YR BILL</w:t>
            </w:r>
          </w:p>
        </w:tc>
        <w:tc>
          <w:tcPr>
            <w:tcW w:w="1516" w:type="dxa"/>
          </w:tcPr>
          <w:p w:rsidR="00C01BE9" w:rsidRPr="00547FAB" w:rsidRDefault="00C01BE9" w:rsidP="00C94F8D">
            <w:r w:rsidRPr="00547FAB">
              <w:t>Watch</w:t>
            </w:r>
          </w:p>
        </w:tc>
      </w:tr>
      <w:tr w:rsidR="00C01BE9" w:rsidRPr="00547FAB" w:rsidTr="006D7FEC">
        <w:tc>
          <w:tcPr>
            <w:tcW w:w="1893" w:type="dxa"/>
          </w:tcPr>
          <w:p w:rsidR="00C01BE9" w:rsidRPr="00547FAB" w:rsidRDefault="00C01BE9" w:rsidP="006D7FEC">
            <w:r w:rsidRPr="00547FAB">
              <w:t>AB 216</w:t>
            </w:r>
          </w:p>
        </w:tc>
        <w:tc>
          <w:tcPr>
            <w:tcW w:w="2038" w:type="dxa"/>
          </w:tcPr>
          <w:p w:rsidR="00C01BE9" w:rsidRPr="00547FAB" w:rsidRDefault="00B73200" w:rsidP="0052341F">
            <w:r w:rsidRPr="00547FAB">
              <w:t>Swanson</w:t>
            </w:r>
          </w:p>
        </w:tc>
        <w:tc>
          <w:tcPr>
            <w:tcW w:w="2412" w:type="dxa"/>
          </w:tcPr>
          <w:p w:rsidR="00C01BE9" w:rsidRPr="00547FAB" w:rsidRDefault="00C01BE9" w:rsidP="0052341F">
            <w:r w:rsidRPr="00547FAB">
              <w:t>Inmate education</w:t>
            </w:r>
          </w:p>
        </w:tc>
        <w:tc>
          <w:tcPr>
            <w:tcW w:w="3157" w:type="dxa"/>
          </w:tcPr>
          <w:p w:rsidR="00C01BE9" w:rsidRPr="00547FAB" w:rsidRDefault="00C01BE9" w:rsidP="0052341F">
            <w:pPr>
              <w:rPr>
                <w:u w:val="single"/>
              </w:rPr>
            </w:pPr>
            <w:r w:rsidRPr="00547FAB">
              <w:t>2-YR BILL</w:t>
            </w: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6D7FEC">
            <w:r w:rsidRPr="00547FAB">
              <w:t xml:space="preserve">AB 372 </w:t>
            </w:r>
          </w:p>
        </w:tc>
        <w:tc>
          <w:tcPr>
            <w:tcW w:w="2038" w:type="dxa"/>
          </w:tcPr>
          <w:p w:rsidR="00C01BE9" w:rsidRPr="00547FAB" w:rsidRDefault="00C01BE9" w:rsidP="00804CB0">
            <w:r w:rsidRPr="00547FAB">
              <w:t>Hernandez</w:t>
            </w:r>
          </w:p>
        </w:tc>
        <w:tc>
          <w:tcPr>
            <w:tcW w:w="2412" w:type="dxa"/>
          </w:tcPr>
          <w:p w:rsidR="00C01BE9" w:rsidRPr="00547FAB" w:rsidRDefault="00B73200" w:rsidP="00B73200">
            <w:r w:rsidRPr="00547FAB">
              <w:t>Academic credit to veterans</w:t>
            </w:r>
          </w:p>
        </w:tc>
        <w:tc>
          <w:tcPr>
            <w:tcW w:w="3157" w:type="dxa"/>
          </w:tcPr>
          <w:p w:rsidR="00C01BE9" w:rsidRPr="00547FAB" w:rsidRDefault="00C01BE9" w:rsidP="00804CB0">
            <w:r w:rsidRPr="00547FAB">
              <w:t xml:space="preserve"> 2-YR BILL</w:t>
            </w:r>
          </w:p>
        </w:tc>
        <w:tc>
          <w:tcPr>
            <w:tcW w:w="1516" w:type="dxa"/>
          </w:tcPr>
          <w:p w:rsidR="00C01BE9" w:rsidRPr="00547FAB" w:rsidRDefault="00C01BE9" w:rsidP="00C94F8D">
            <w:r w:rsidRPr="00547FAB">
              <w:t>Watch</w:t>
            </w:r>
          </w:p>
        </w:tc>
      </w:tr>
      <w:tr w:rsidR="00C01BE9" w:rsidRPr="00547FAB" w:rsidTr="006D7FEC">
        <w:tc>
          <w:tcPr>
            <w:tcW w:w="1893" w:type="dxa"/>
          </w:tcPr>
          <w:p w:rsidR="00C01BE9" w:rsidRPr="00547FAB" w:rsidRDefault="00C01BE9" w:rsidP="00C01BE9">
            <w:r w:rsidRPr="00547FAB">
              <w:lastRenderedPageBreak/>
              <w:t>AB 383</w:t>
            </w:r>
          </w:p>
        </w:tc>
        <w:tc>
          <w:tcPr>
            <w:tcW w:w="2038" w:type="dxa"/>
          </w:tcPr>
          <w:p w:rsidR="00C01BE9" w:rsidRPr="00547FAB" w:rsidRDefault="00C01BE9" w:rsidP="00804CB0">
            <w:r w:rsidRPr="00547FAB">
              <w:t>Portantino</w:t>
            </w:r>
          </w:p>
        </w:tc>
        <w:tc>
          <w:tcPr>
            <w:tcW w:w="2412" w:type="dxa"/>
          </w:tcPr>
          <w:p w:rsidR="00C01BE9" w:rsidRPr="00547FAB" w:rsidRDefault="00C01BE9" w:rsidP="00804CB0">
            <w:r w:rsidRPr="00547FAB">
              <w:t>Adjunct faculty</w:t>
            </w:r>
          </w:p>
        </w:tc>
        <w:tc>
          <w:tcPr>
            <w:tcW w:w="3157" w:type="dxa"/>
          </w:tcPr>
          <w:p w:rsidR="00C01BE9" w:rsidRPr="00547FAB" w:rsidRDefault="00C01BE9" w:rsidP="00804CB0"/>
        </w:tc>
        <w:tc>
          <w:tcPr>
            <w:tcW w:w="1516" w:type="dxa"/>
          </w:tcPr>
          <w:p w:rsidR="00C01BE9" w:rsidRPr="00547FAB" w:rsidRDefault="00C01BE9" w:rsidP="00C94F8D"/>
        </w:tc>
      </w:tr>
      <w:tr w:rsidR="00C01BE9" w:rsidRPr="00547FAB" w:rsidTr="006D7FEC">
        <w:tc>
          <w:tcPr>
            <w:tcW w:w="1893" w:type="dxa"/>
          </w:tcPr>
          <w:p w:rsidR="00C01BE9" w:rsidRPr="00547FAB" w:rsidRDefault="00C01BE9" w:rsidP="006D7FEC">
            <w:r w:rsidRPr="00547FAB">
              <w:t xml:space="preserve">AB 515 </w:t>
            </w:r>
          </w:p>
        </w:tc>
        <w:tc>
          <w:tcPr>
            <w:tcW w:w="2038" w:type="dxa"/>
          </w:tcPr>
          <w:p w:rsidR="00C01BE9" w:rsidRPr="00547FAB" w:rsidRDefault="00C01BE9" w:rsidP="007E4145">
            <w:r w:rsidRPr="00547FAB">
              <w:t>Brownley</w:t>
            </w:r>
          </w:p>
        </w:tc>
        <w:tc>
          <w:tcPr>
            <w:tcW w:w="2412" w:type="dxa"/>
          </w:tcPr>
          <w:p w:rsidR="00C01BE9" w:rsidRPr="00547FAB" w:rsidRDefault="00C01BE9" w:rsidP="007E4145">
            <w:r w:rsidRPr="00547FAB">
              <w:t>Extension programs</w:t>
            </w:r>
          </w:p>
        </w:tc>
        <w:tc>
          <w:tcPr>
            <w:tcW w:w="3157" w:type="dxa"/>
          </w:tcPr>
          <w:p w:rsidR="00C01BE9" w:rsidRPr="00547FAB" w:rsidRDefault="00C01BE9" w:rsidP="007E4145">
            <w:r w:rsidRPr="00547FAB">
              <w:t xml:space="preserve"> 2-YR BILL</w:t>
            </w:r>
          </w:p>
        </w:tc>
        <w:tc>
          <w:tcPr>
            <w:tcW w:w="1516" w:type="dxa"/>
          </w:tcPr>
          <w:p w:rsidR="00C01BE9" w:rsidRPr="00547FAB" w:rsidRDefault="00C01BE9" w:rsidP="00C94F8D">
            <w:r w:rsidRPr="00547FAB">
              <w:t>Oppose</w:t>
            </w:r>
          </w:p>
        </w:tc>
      </w:tr>
      <w:tr w:rsidR="00C01BE9" w:rsidRPr="00547FAB" w:rsidTr="006D7FEC">
        <w:tc>
          <w:tcPr>
            <w:tcW w:w="1893" w:type="dxa"/>
          </w:tcPr>
          <w:p w:rsidR="00C01BE9" w:rsidRPr="00547FAB" w:rsidRDefault="00C01BE9" w:rsidP="006D7FEC">
            <w:r w:rsidRPr="00547FAB">
              <w:t xml:space="preserve">AB 661 </w:t>
            </w:r>
          </w:p>
        </w:tc>
        <w:tc>
          <w:tcPr>
            <w:tcW w:w="2038" w:type="dxa"/>
          </w:tcPr>
          <w:p w:rsidR="00C01BE9" w:rsidRPr="00547FAB" w:rsidRDefault="00C01BE9" w:rsidP="007E4145">
            <w:r w:rsidRPr="00547FAB">
              <w:t>Block</w:t>
            </w:r>
          </w:p>
        </w:tc>
        <w:tc>
          <w:tcPr>
            <w:tcW w:w="2412" w:type="dxa"/>
          </w:tcPr>
          <w:p w:rsidR="00C01BE9" w:rsidRPr="00547FAB" w:rsidRDefault="00C01BE9" w:rsidP="007E4145">
            <w:r w:rsidRPr="00547FAB">
              <w:t>Baccalaureate pilot</w:t>
            </w:r>
          </w:p>
        </w:tc>
        <w:tc>
          <w:tcPr>
            <w:tcW w:w="3157" w:type="dxa"/>
          </w:tcPr>
          <w:p w:rsidR="00C01BE9" w:rsidRPr="00547FAB" w:rsidRDefault="00C01BE9" w:rsidP="007E4145"/>
        </w:tc>
        <w:tc>
          <w:tcPr>
            <w:tcW w:w="1516" w:type="dxa"/>
          </w:tcPr>
          <w:p w:rsidR="00C01BE9" w:rsidRPr="00547FAB" w:rsidRDefault="00C01BE9" w:rsidP="00C94F8D">
            <w:r w:rsidRPr="00547FAB">
              <w:t>Oppose</w:t>
            </w:r>
          </w:p>
        </w:tc>
      </w:tr>
      <w:tr w:rsidR="00C01BE9" w:rsidRPr="00547FAB" w:rsidTr="006D7FEC">
        <w:tc>
          <w:tcPr>
            <w:tcW w:w="1893" w:type="dxa"/>
          </w:tcPr>
          <w:p w:rsidR="00C01BE9" w:rsidRPr="00547FAB" w:rsidRDefault="00C01BE9" w:rsidP="000D3081">
            <w:r w:rsidRPr="00547FAB">
              <w:t xml:space="preserve">AB 851 </w:t>
            </w:r>
          </w:p>
        </w:tc>
        <w:tc>
          <w:tcPr>
            <w:tcW w:w="2038" w:type="dxa"/>
          </w:tcPr>
          <w:p w:rsidR="00C01BE9" w:rsidRPr="00547FAB" w:rsidRDefault="00C01BE9" w:rsidP="00D30237">
            <w:r w:rsidRPr="00547FAB">
              <w:t>Nestande</w:t>
            </w:r>
          </w:p>
        </w:tc>
        <w:tc>
          <w:tcPr>
            <w:tcW w:w="2412" w:type="dxa"/>
          </w:tcPr>
          <w:p w:rsidR="00C01BE9" w:rsidRPr="00547FAB" w:rsidRDefault="00C01BE9" w:rsidP="00D30237">
            <w:r w:rsidRPr="00547FAB">
              <w:t>Distance Education</w:t>
            </w:r>
          </w:p>
        </w:tc>
        <w:tc>
          <w:tcPr>
            <w:tcW w:w="3157" w:type="dxa"/>
          </w:tcPr>
          <w:p w:rsidR="00C01BE9" w:rsidRPr="00547FAB" w:rsidRDefault="00C01BE9" w:rsidP="008E2759">
            <w:r w:rsidRPr="00547FAB">
              <w:t>2-YR BILL</w:t>
            </w:r>
          </w:p>
        </w:tc>
        <w:tc>
          <w:tcPr>
            <w:tcW w:w="1516" w:type="dxa"/>
          </w:tcPr>
          <w:p w:rsidR="00C01BE9" w:rsidRPr="00547FAB" w:rsidRDefault="00C01BE9" w:rsidP="00C94F8D">
            <w:r w:rsidRPr="00547FAB">
              <w:t>Watch</w:t>
            </w:r>
          </w:p>
        </w:tc>
      </w:tr>
      <w:tr w:rsidR="00C01BE9" w:rsidRPr="00547FAB" w:rsidTr="006D7FEC">
        <w:tc>
          <w:tcPr>
            <w:tcW w:w="1893" w:type="dxa"/>
          </w:tcPr>
          <w:p w:rsidR="00C01BE9" w:rsidRPr="00547FAB" w:rsidRDefault="00C01BE9" w:rsidP="000D3081">
            <w:r w:rsidRPr="00547FAB">
              <w:t>AB 852</w:t>
            </w:r>
          </w:p>
        </w:tc>
        <w:tc>
          <w:tcPr>
            <w:tcW w:w="2038" w:type="dxa"/>
          </w:tcPr>
          <w:p w:rsidR="00C01BE9" w:rsidRPr="00547FAB" w:rsidRDefault="00C01BE9" w:rsidP="007E4145">
            <w:r w:rsidRPr="00547FAB">
              <w:t>Fong</w:t>
            </w:r>
          </w:p>
        </w:tc>
        <w:tc>
          <w:tcPr>
            <w:tcW w:w="2412" w:type="dxa"/>
          </w:tcPr>
          <w:p w:rsidR="00C01BE9" w:rsidRPr="00547FAB" w:rsidRDefault="00C01BE9" w:rsidP="007E4145">
            <w:r w:rsidRPr="00547FAB">
              <w:t>Adjunct Faculty</w:t>
            </w:r>
          </w:p>
        </w:tc>
        <w:tc>
          <w:tcPr>
            <w:tcW w:w="3157" w:type="dxa"/>
          </w:tcPr>
          <w:p w:rsidR="00C01BE9" w:rsidRPr="00547FAB" w:rsidRDefault="00C01BE9" w:rsidP="008E2759"/>
        </w:tc>
        <w:tc>
          <w:tcPr>
            <w:tcW w:w="1516" w:type="dxa"/>
          </w:tcPr>
          <w:p w:rsidR="00C01BE9" w:rsidRPr="00547FAB" w:rsidRDefault="00C01BE9" w:rsidP="00C94F8D"/>
        </w:tc>
      </w:tr>
      <w:tr w:rsidR="00C01BE9" w:rsidRPr="00547FAB" w:rsidTr="006D7FEC">
        <w:tc>
          <w:tcPr>
            <w:tcW w:w="1893" w:type="dxa"/>
          </w:tcPr>
          <w:p w:rsidR="00C01BE9" w:rsidRPr="00547FAB" w:rsidRDefault="00C01BE9" w:rsidP="007C6004">
            <w:r w:rsidRPr="00547FAB">
              <w:t>AB 1315</w:t>
            </w:r>
          </w:p>
          <w:p w:rsidR="00C01BE9" w:rsidRPr="00547FAB" w:rsidRDefault="00C01BE9" w:rsidP="007C6004"/>
        </w:tc>
        <w:tc>
          <w:tcPr>
            <w:tcW w:w="2038" w:type="dxa"/>
          </w:tcPr>
          <w:p w:rsidR="00C01BE9" w:rsidRPr="00547FAB" w:rsidRDefault="00C01BE9" w:rsidP="001C0F8B">
            <w:pPr>
              <w:autoSpaceDE w:val="0"/>
              <w:autoSpaceDN w:val="0"/>
              <w:adjustRightInd w:val="0"/>
            </w:pPr>
            <w:r w:rsidRPr="00547FAB">
              <w:t>Furutani</w:t>
            </w:r>
          </w:p>
        </w:tc>
        <w:tc>
          <w:tcPr>
            <w:tcW w:w="2412" w:type="dxa"/>
          </w:tcPr>
          <w:p w:rsidR="00C01BE9" w:rsidRPr="00547FAB" w:rsidRDefault="00C01BE9" w:rsidP="001C0F8B">
            <w:pPr>
              <w:autoSpaceDE w:val="0"/>
              <w:autoSpaceDN w:val="0"/>
              <w:adjustRightInd w:val="0"/>
            </w:pPr>
            <w:r w:rsidRPr="00547FAB">
              <w:t>Gateway Centers Demonstration Project</w:t>
            </w:r>
          </w:p>
        </w:tc>
        <w:tc>
          <w:tcPr>
            <w:tcW w:w="3157" w:type="dxa"/>
          </w:tcPr>
          <w:p w:rsidR="00C01BE9" w:rsidRPr="00547FAB" w:rsidRDefault="00C01BE9" w:rsidP="008E2759">
            <w:pPr>
              <w:rPr>
                <w:u w:val="single"/>
              </w:rPr>
            </w:pPr>
          </w:p>
        </w:tc>
        <w:tc>
          <w:tcPr>
            <w:tcW w:w="1516" w:type="dxa"/>
          </w:tcPr>
          <w:p w:rsidR="00C01BE9" w:rsidRPr="00547FAB" w:rsidRDefault="00C01BE9" w:rsidP="00C94F8D"/>
        </w:tc>
      </w:tr>
      <w:tr w:rsidR="00C01BE9" w:rsidRPr="00547FAB" w:rsidTr="006D7FEC">
        <w:tc>
          <w:tcPr>
            <w:tcW w:w="1893" w:type="dxa"/>
          </w:tcPr>
          <w:p w:rsidR="00C01BE9" w:rsidRPr="00547FAB" w:rsidRDefault="00C01BE9" w:rsidP="000D3081">
            <w:r w:rsidRPr="00547FAB">
              <w:t>AB 1326</w:t>
            </w:r>
          </w:p>
        </w:tc>
        <w:tc>
          <w:tcPr>
            <w:tcW w:w="2038" w:type="dxa"/>
          </w:tcPr>
          <w:p w:rsidR="00C01BE9" w:rsidRPr="00547FAB" w:rsidRDefault="00C01BE9" w:rsidP="009B5100">
            <w:r w:rsidRPr="00547FAB">
              <w:t>Furutani</w:t>
            </w:r>
          </w:p>
        </w:tc>
        <w:tc>
          <w:tcPr>
            <w:tcW w:w="2412" w:type="dxa"/>
          </w:tcPr>
          <w:p w:rsidR="00C01BE9" w:rsidRPr="00547FAB" w:rsidRDefault="00C01BE9" w:rsidP="009B5100">
            <w:r w:rsidRPr="00547FAB">
              <w:t>Oil Severance</w:t>
            </w:r>
          </w:p>
        </w:tc>
        <w:tc>
          <w:tcPr>
            <w:tcW w:w="3157" w:type="dxa"/>
          </w:tcPr>
          <w:p w:rsidR="00C01BE9" w:rsidRPr="00547FAB" w:rsidRDefault="00C01BE9" w:rsidP="008E2759"/>
        </w:tc>
        <w:tc>
          <w:tcPr>
            <w:tcW w:w="1516" w:type="dxa"/>
          </w:tcPr>
          <w:p w:rsidR="00C01BE9" w:rsidRPr="00547FAB" w:rsidRDefault="00C01BE9" w:rsidP="00C94F8D"/>
        </w:tc>
      </w:tr>
      <w:tr w:rsidR="00C01BE9" w:rsidRPr="00547FAB" w:rsidTr="006D7FEC">
        <w:tc>
          <w:tcPr>
            <w:tcW w:w="1893" w:type="dxa"/>
          </w:tcPr>
          <w:p w:rsidR="00C01BE9" w:rsidRPr="00547FAB" w:rsidRDefault="00C01BE9" w:rsidP="007C6004">
            <w:r w:rsidRPr="00547FAB">
              <w:t>SB 114</w:t>
            </w:r>
          </w:p>
          <w:p w:rsidR="00C01BE9" w:rsidRPr="00547FAB" w:rsidRDefault="00C01BE9" w:rsidP="007C6004"/>
        </w:tc>
        <w:tc>
          <w:tcPr>
            <w:tcW w:w="2038" w:type="dxa"/>
          </w:tcPr>
          <w:p w:rsidR="00C01BE9" w:rsidRPr="00547FAB" w:rsidRDefault="00C01BE9" w:rsidP="00400020">
            <w:r w:rsidRPr="00547FAB">
              <w:t>Yee</w:t>
            </w:r>
          </w:p>
        </w:tc>
        <w:tc>
          <w:tcPr>
            <w:tcW w:w="2412" w:type="dxa"/>
          </w:tcPr>
          <w:p w:rsidR="00C01BE9" w:rsidRPr="00547FAB" w:rsidRDefault="00C01BE9" w:rsidP="00400020">
            <w:r w:rsidRPr="00547FAB">
              <w:t>Adjunct Faculty: Salary Schedules</w:t>
            </w:r>
          </w:p>
        </w:tc>
        <w:tc>
          <w:tcPr>
            <w:tcW w:w="3157" w:type="dxa"/>
          </w:tcPr>
          <w:p w:rsidR="00C01BE9" w:rsidRPr="00547FAB" w:rsidRDefault="00C01BE9" w:rsidP="008E2759"/>
        </w:tc>
        <w:tc>
          <w:tcPr>
            <w:tcW w:w="1516" w:type="dxa"/>
          </w:tcPr>
          <w:p w:rsidR="00C01BE9" w:rsidRPr="00547FAB" w:rsidRDefault="00C01BE9" w:rsidP="00C94F8D"/>
        </w:tc>
      </w:tr>
      <w:tr w:rsidR="00C01BE9" w:rsidRPr="00547FAB" w:rsidTr="006D7FEC">
        <w:tc>
          <w:tcPr>
            <w:tcW w:w="1893" w:type="dxa"/>
          </w:tcPr>
          <w:p w:rsidR="00C01BE9" w:rsidRPr="00547FAB" w:rsidRDefault="00C01BE9" w:rsidP="000D3081">
            <w:r w:rsidRPr="00547FAB">
              <w:t>SB 189</w:t>
            </w:r>
          </w:p>
        </w:tc>
        <w:tc>
          <w:tcPr>
            <w:tcW w:w="2038" w:type="dxa"/>
          </w:tcPr>
          <w:p w:rsidR="00C01BE9" w:rsidRPr="00547FAB" w:rsidRDefault="00C01BE9" w:rsidP="007E4145">
            <w:r w:rsidRPr="00547FAB">
              <w:t>Anderson</w:t>
            </w:r>
          </w:p>
        </w:tc>
        <w:tc>
          <w:tcPr>
            <w:tcW w:w="2412" w:type="dxa"/>
          </w:tcPr>
          <w:p w:rsidR="00C01BE9" w:rsidRPr="00547FAB" w:rsidRDefault="00C01BE9" w:rsidP="007E4145">
            <w:r w:rsidRPr="00547FAB">
              <w:t>Adjunct Faculty</w:t>
            </w:r>
          </w:p>
        </w:tc>
        <w:tc>
          <w:tcPr>
            <w:tcW w:w="3157" w:type="dxa"/>
          </w:tcPr>
          <w:p w:rsidR="00C01BE9" w:rsidRPr="00547FAB" w:rsidRDefault="00C01BE9" w:rsidP="008E2759"/>
        </w:tc>
        <w:tc>
          <w:tcPr>
            <w:tcW w:w="1516" w:type="dxa"/>
          </w:tcPr>
          <w:p w:rsidR="00C01BE9" w:rsidRPr="00547FAB" w:rsidRDefault="00C01BE9" w:rsidP="00C94F8D"/>
        </w:tc>
      </w:tr>
      <w:tr w:rsidR="00C01BE9" w:rsidRPr="00547FAB" w:rsidTr="006D7FEC">
        <w:tc>
          <w:tcPr>
            <w:tcW w:w="1893" w:type="dxa"/>
          </w:tcPr>
          <w:p w:rsidR="00C01BE9" w:rsidRPr="00755DF1" w:rsidRDefault="00C01BE9" w:rsidP="000D3081">
            <w:pPr>
              <w:rPr>
                <w:strike/>
              </w:rPr>
            </w:pPr>
            <w:r w:rsidRPr="00755DF1">
              <w:rPr>
                <w:strike/>
              </w:rPr>
              <w:t xml:space="preserve">SB292 </w:t>
            </w:r>
          </w:p>
        </w:tc>
        <w:tc>
          <w:tcPr>
            <w:tcW w:w="2038" w:type="dxa"/>
          </w:tcPr>
          <w:p w:rsidR="00C01BE9" w:rsidRPr="00755DF1" w:rsidRDefault="00C01BE9" w:rsidP="007E4145">
            <w:pPr>
              <w:rPr>
                <w:strike/>
              </w:rPr>
            </w:pPr>
            <w:r w:rsidRPr="00755DF1">
              <w:rPr>
                <w:strike/>
              </w:rPr>
              <w:t>Padilla</w:t>
            </w:r>
          </w:p>
        </w:tc>
        <w:tc>
          <w:tcPr>
            <w:tcW w:w="2412" w:type="dxa"/>
          </w:tcPr>
          <w:p w:rsidR="00C01BE9" w:rsidRPr="00755DF1" w:rsidRDefault="00C01BE9" w:rsidP="007E4145">
            <w:pPr>
              <w:rPr>
                <w:strike/>
              </w:rPr>
            </w:pPr>
            <w:r w:rsidRPr="00755DF1">
              <w:rPr>
                <w:strike/>
              </w:rPr>
              <w:t>Transfer</w:t>
            </w:r>
          </w:p>
        </w:tc>
        <w:tc>
          <w:tcPr>
            <w:tcW w:w="3157" w:type="dxa"/>
          </w:tcPr>
          <w:p w:rsidR="00C01BE9" w:rsidRPr="00547FAB" w:rsidRDefault="00C01BE9" w:rsidP="008E2759"/>
        </w:tc>
        <w:tc>
          <w:tcPr>
            <w:tcW w:w="1516" w:type="dxa"/>
          </w:tcPr>
          <w:p w:rsidR="00C01BE9" w:rsidRPr="00547FAB" w:rsidRDefault="00C01BE9" w:rsidP="00C94F8D">
            <w:r w:rsidRPr="00547FAB">
              <w:t>Watch</w:t>
            </w:r>
          </w:p>
        </w:tc>
      </w:tr>
      <w:tr w:rsidR="00C01BE9" w:rsidRPr="00547FAB" w:rsidTr="006D7FEC">
        <w:tc>
          <w:tcPr>
            <w:tcW w:w="1893" w:type="dxa"/>
          </w:tcPr>
          <w:p w:rsidR="00C01BE9" w:rsidRPr="00547FAB" w:rsidRDefault="00C01BE9" w:rsidP="007E4145">
            <w:r w:rsidRPr="00547FAB">
              <w:t>SEN 885</w:t>
            </w:r>
          </w:p>
        </w:tc>
        <w:tc>
          <w:tcPr>
            <w:tcW w:w="2038" w:type="dxa"/>
          </w:tcPr>
          <w:p w:rsidR="00C01BE9" w:rsidRPr="00547FAB" w:rsidRDefault="00B73200" w:rsidP="00400020">
            <w:pPr>
              <w:autoSpaceDE w:val="0"/>
              <w:autoSpaceDN w:val="0"/>
              <w:adjustRightInd w:val="0"/>
              <w:rPr>
                <w:iCs/>
                <w:color w:val="auto"/>
              </w:rPr>
            </w:pPr>
            <w:r w:rsidRPr="00547FAB">
              <w:rPr>
                <w:iCs/>
                <w:color w:val="auto"/>
              </w:rPr>
              <w:t>Simit</w:t>
            </w:r>
            <w:r w:rsidR="00730EA0" w:rsidRPr="00547FAB">
              <w:rPr>
                <w:iCs/>
                <w:color w:val="auto"/>
              </w:rPr>
              <w:t xml:space="preserve">ian </w:t>
            </w:r>
          </w:p>
        </w:tc>
        <w:tc>
          <w:tcPr>
            <w:tcW w:w="2412" w:type="dxa"/>
          </w:tcPr>
          <w:p w:rsidR="00C01BE9" w:rsidRPr="00547FAB" w:rsidRDefault="00B73200" w:rsidP="00400020">
            <w:pPr>
              <w:autoSpaceDE w:val="0"/>
              <w:autoSpaceDN w:val="0"/>
              <w:adjustRightInd w:val="0"/>
              <w:rPr>
                <w:iCs/>
                <w:color w:val="auto"/>
              </w:rPr>
            </w:pPr>
            <w:r w:rsidRPr="00547FAB">
              <w:rPr>
                <w:iCs/>
                <w:color w:val="auto"/>
              </w:rPr>
              <w:t>Longitudinal Data Collection</w:t>
            </w:r>
          </w:p>
        </w:tc>
        <w:tc>
          <w:tcPr>
            <w:tcW w:w="3157" w:type="dxa"/>
          </w:tcPr>
          <w:p w:rsidR="00C01BE9" w:rsidRPr="00547FAB" w:rsidRDefault="00C01BE9" w:rsidP="00BE4183">
            <w:pPr>
              <w:autoSpaceDE w:val="0"/>
              <w:autoSpaceDN w:val="0"/>
              <w:adjustRightInd w:val="0"/>
            </w:pPr>
            <w:r w:rsidRPr="00547FAB">
              <w:t>2-YR BILL</w:t>
            </w:r>
          </w:p>
        </w:tc>
        <w:tc>
          <w:tcPr>
            <w:tcW w:w="1516" w:type="dxa"/>
          </w:tcPr>
          <w:p w:rsidR="00C01BE9" w:rsidRPr="00547FAB" w:rsidRDefault="00C01BE9" w:rsidP="00EC6B5C">
            <w:pPr>
              <w:autoSpaceDE w:val="0"/>
              <w:autoSpaceDN w:val="0"/>
              <w:adjustRightInd w:val="0"/>
              <w:rPr>
                <w:iCs/>
                <w:color w:val="auto"/>
                <w:u w:val="single"/>
              </w:rPr>
            </w:pPr>
          </w:p>
        </w:tc>
      </w:tr>
      <w:tr w:rsidR="00C01BE9" w:rsidRPr="00547FAB" w:rsidTr="004A5C20">
        <w:tc>
          <w:tcPr>
            <w:tcW w:w="11016" w:type="dxa"/>
            <w:gridSpan w:val="5"/>
          </w:tcPr>
          <w:p w:rsidR="00C01BE9" w:rsidRPr="00547FAB" w:rsidRDefault="00C01BE9" w:rsidP="0085570F">
            <w:pPr>
              <w:autoSpaceDE w:val="0"/>
              <w:autoSpaceDN w:val="0"/>
              <w:adjustRightInd w:val="0"/>
              <w:rPr>
                <w:u w:val="single"/>
              </w:rPr>
            </w:pPr>
          </w:p>
        </w:tc>
      </w:tr>
      <w:tr w:rsidR="00C01BE9" w:rsidRPr="00547FAB" w:rsidTr="00175E9E">
        <w:tc>
          <w:tcPr>
            <w:tcW w:w="11016" w:type="dxa"/>
            <w:gridSpan w:val="5"/>
          </w:tcPr>
          <w:p w:rsidR="00C01BE9" w:rsidRPr="00547FAB" w:rsidRDefault="00C01BE9" w:rsidP="006D7FEC">
            <w:pPr>
              <w:pStyle w:val="Heading1"/>
              <w:rPr>
                <w:sz w:val="24"/>
                <w:szCs w:val="24"/>
              </w:rPr>
            </w:pPr>
            <w:r w:rsidRPr="00547FAB">
              <w:rPr>
                <w:sz w:val="24"/>
                <w:szCs w:val="24"/>
              </w:rPr>
              <w:t>IMPORTANT DATES OCCURRING AFTER ADJOURNMENT FOR INTERIM RECESS</w:t>
            </w:r>
          </w:p>
          <w:p w:rsidR="00C01BE9" w:rsidRPr="00547FAB" w:rsidRDefault="00C01BE9" w:rsidP="00502942">
            <w:pPr>
              <w:pStyle w:val="Heading1"/>
              <w:rPr>
                <w:b w:val="0"/>
                <w:sz w:val="24"/>
                <w:szCs w:val="24"/>
              </w:rPr>
            </w:pPr>
            <w:r w:rsidRPr="00547FAB">
              <w:rPr>
                <w:rStyle w:val="Strong"/>
                <w:b/>
                <w:bCs/>
                <w:sz w:val="24"/>
                <w:szCs w:val="24"/>
                <w:u w:val="single"/>
              </w:rPr>
              <w:t>2011</w:t>
            </w:r>
            <w:r w:rsidR="00502942" w:rsidRPr="00547FAB">
              <w:rPr>
                <w:rStyle w:val="Strong"/>
                <w:b/>
                <w:bCs/>
                <w:sz w:val="24"/>
                <w:szCs w:val="24"/>
              </w:rPr>
              <w:t>---</w:t>
            </w:r>
            <w:r w:rsidRPr="00547FAB">
              <w:rPr>
                <w:b w:val="0"/>
                <w:sz w:val="24"/>
                <w:szCs w:val="24"/>
              </w:rPr>
              <w:t>October 9 was the last day for Governor to sign or veto bills passed by the Legislature before Sept. 9 and in the Governor’s possession on or after Sept. 9 (Art. IV, Sec.10(b)(1)).</w:t>
            </w:r>
          </w:p>
          <w:p w:rsidR="00C01BE9" w:rsidRDefault="00C01BE9" w:rsidP="00547FAB">
            <w:pPr>
              <w:pStyle w:val="NormalWeb"/>
            </w:pPr>
            <w:r w:rsidRPr="00547FAB">
              <w:rPr>
                <w:rStyle w:val="Strong"/>
                <w:u w:val="single"/>
              </w:rPr>
              <w:t>2012</w:t>
            </w:r>
            <w:r w:rsidR="00502942" w:rsidRPr="00547FAB">
              <w:rPr>
                <w:rStyle w:val="Strong"/>
                <w:b w:val="0"/>
                <w:bCs w:val="0"/>
              </w:rPr>
              <w:t>---</w:t>
            </w:r>
            <w:r w:rsidR="00502942" w:rsidRPr="00547FAB">
              <w:t xml:space="preserve"> January 1--- Statutes take effect (Art. IV, Sec. 8(c)) and January 4---Legislature reconvenes (J.R. 51 (a)(4)).</w:t>
            </w:r>
          </w:p>
          <w:p w:rsidR="00547FAB" w:rsidRPr="00547FAB" w:rsidRDefault="00547FAB" w:rsidP="00547FAB">
            <w:pPr>
              <w:pStyle w:val="NormalWeb"/>
              <w:rPr>
                <w:u w:val="single"/>
              </w:rPr>
            </w:pPr>
          </w:p>
        </w:tc>
      </w:tr>
    </w:tbl>
    <w:p w:rsidR="00502942" w:rsidRPr="00547FAB" w:rsidRDefault="00502942" w:rsidP="005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tbl>
      <w:tblPr>
        <w:tblStyle w:val="TableGrid"/>
        <w:tblW w:w="0" w:type="auto"/>
        <w:tblLook w:val="04A0"/>
      </w:tblPr>
      <w:tblGrid>
        <w:gridCol w:w="11016"/>
      </w:tblGrid>
      <w:tr w:rsidR="007B5672" w:rsidRPr="00547FAB" w:rsidTr="00730EA0">
        <w:tc>
          <w:tcPr>
            <w:tcW w:w="11016" w:type="dxa"/>
          </w:tcPr>
          <w:p w:rsidR="002344B6" w:rsidRDefault="002344B6" w:rsidP="00730EA0">
            <w:pPr>
              <w:pStyle w:val="NormalWeb"/>
              <w:jc w:val="both"/>
              <w:rPr>
                <w:rStyle w:val="Strong"/>
              </w:rPr>
            </w:pPr>
          </w:p>
          <w:p w:rsidR="007B5672" w:rsidRPr="00547FAB" w:rsidRDefault="00547FAB" w:rsidP="00730EA0">
            <w:pPr>
              <w:pStyle w:val="NormalWeb"/>
              <w:jc w:val="both"/>
              <w:rPr>
                <w:rStyle w:val="Strong"/>
              </w:rPr>
            </w:pPr>
            <w:r>
              <w:rPr>
                <w:rStyle w:val="Strong"/>
              </w:rPr>
              <w:t>GUT AND AMEND</w:t>
            </w:r>
          </w:p>
          <w:p w:rsidR="00E92C74" w:rsidRPr="00547FAB" w:rsidRDefault="00E92C74" w:rsidP="00E92C74">
            <w:pPr>
              <w:pStyle w:val="NormalWeb"/>
              <w:jc w:val="both"/>
              <w:rPr>
                <w:rStyle w:val="Strong"/>
                <w:b w:val="0"/>
                <w:u w:val="single"/>
              </w:rPr>
            </w:pPr>
            <w:r w:rsidRPr="00547FAB">
              <w:rPr>
                <w:rStyle w:val="Strong"/>
                <w:b w:val="0"/>
                <w:u w:val="single"/>
              </w:rPr>
              <w:t>The Saga of SB 292 (Padilla)</w:t>
            </w:r>
          </w:p>
          <w:p w:rsidR="00E92C74" w:rsidRPr="00547FAB" w:rsidRDefault="00E92C74" w:rsidP="00E92C74">
            <w:pPr>
              <w:autoSpaceDE w:val="0"/>
              <w:autoSpaceDN w:val="0"/>
              <w:adjustRightInd w:val="0"/>
              <w:rPr>
                <w:color w:val="auto"/>
              </w:rPr>
            </w:pPr>
            <w:r w:rsidRPr="00547FAB">
              <w:rPr>
                <w:color w:val="auto"/>
              </w:rPr>
              <w:t>(Introduced February 14, 2011)---“Public postsecondary education: community colleges: transfers.</w:t>
            </w:r>
          </w:p>
          <w:p w:rsidR="00E92C74" w:rsidRPr="00547FAB" w:rsidRDefault="007B5672" w:rsidP="00E92C74">
            <w:pPr>
              <w:autoSpaceDE w:val="0"/>
              <w:autoSpaceDN w:val="0"/>
              <w:adjustRightInd w:val="0"/>
              <w:rPr>
                <w:color w:val="auto"/>
              </w:rPr>
            </w:pPr>
            <w:r w:rsidRPr="00547FAB">
              <w:rPr>
                <w:color w:val="auto"/>
              </w:rPr>
              <w:t>This bill would state the intent of the Legislature to enact legislation</w:t>
            </w:r>
            <w:r w:rsidR="00755DF1">
              <w:rPr>
                <w:color w:val="auto"/>
              </w:rPr>
              <w:t xml:space="preserve"> </w:t>
            </w:r>
            <w:r w:rsidRPr="00547FAB">
              <w:rPr>
                <w:color w:val="auto"/>
              </w:rPr>
              <w:t>relating to the requirements for student transfers from the California</w:t>
            </w:r>
            <w:r w:rsidR="00E92C74" w:rsidRPr="00547FAB">
              <w:rPr>
                <w:color w:val="auto"/>
              </w:rPr>
              <w:t xml:space="preserve"> </w:t>
            </w:r>
            <w:r w:rsidRPr="00547FAB">
              <w:rPr>
                <w:color w:val="auto"/>
              </w:rPr>
              <w:t>Community Colleges to the California State University and the</w:t>
            </w:r>
            <w:r w:rsidR="00E92C74" w:rsidRPr="00547FAB">
              <w:rPr>
                <w:color w:val="auto"/>
              </w:rPr>
              <w:t xml:space="preserve"> University of California.”  </w:t>
            </w:r>
          </w:p>
          <w:p w:rsidR="00E92C74" w:rsidRPr="00547FAB" w:rsidRDefault="00E92C74" w:rsidP="00E92C74">
            <w:pPr>
              <w:autoSpaceDE w:val="0"/>
              <w:autoSpaceDN w:val="0"/>
              <w:adjustRightInd w:val="0"/>
              <w:rPr>
                <w:color w:val="auto"/>
              </w:rPr>
            </w:pPr>
          </w:p>
          <w:p w:rsidR="00E92C74" w:rsidRPr="00547FAB" w:rsidRDefault="00E92C74" w:rsidP="00E92C74">
            <w:pPr>
              <w:autoSpaceDE w:val="0"/>
              <w:autoSpaceDN w:val="0"/>
              <w:adjustRightInd w:val="0"/>
              <w:rPr>
                <w:iCs/>
                <w:color w:val="auto"/>
              </w:rPr>
            </w:pPr>
            <w:r w:rsidRPr="00547FAB">
              <w:rPr>
                <w:color w:val="auto"/>
              </w:rPr>
              <w:t>(Amended June 28, 2011)---“</w:t>
            </w:r>
            <w:r w:rsidRPr="00547FAB">
              <w:rPr>
                <w:iCs/>
                <w:color w:val="auto"/>
              </w:rPr>
              <w:t>This bill would instead require community colleges to accept credits earned at other community colleges toward the associate degree for transfer, thereby imposing a state-mandated local program.”</w:t>
            </w:r>
          </w:p>
          <w:p w:rsidR="00E92C74" w:rsidRPr="00547FAB" w:rsidRDefault="00E92C74" w:rsidP="00E92C74">
            <w:pPr>
              <w:autoSpaceDE w:val="0"/>
              <w:autoSpaceDN w:val="0"/>
              <w:adjustRightInd w:val="0"/>
              <w:rPr>
                <w:iCs/>
                <w:color w:val="auto"/>
              </w:rPr>
            </w:pPr>
          </w:p>
          <w:p w:rsidR="00E92C74" w:rsidRPr="00547FAB" w:rsidRDefault="00E92C74" w:rsidP="00E92C74">
            <w:pPr>
              <w:autoSpaceDE w:val="0"/>
              <w:autoSpaceDN w:val="0"/>
              <w:adjustRightInd w:val="0"/>
              <w:rPr>
                <w:color w:val="auto"/>
              </w:rPr>
            </w:pPr>
            <w:r w:rsidRPr="00547FAB">
              <w:rPr>
                <w:iCs/>
                <w:color w:val="auto"/>
              </w:rPr>
              <w:t>(Amended August 30, 2011)---“</w:t>
            </w:r>
            <w:r w:rsidRPr="00547FAB">
              <w:rPr>
                <w:color w:val="auto"/>
              </w:rPr>
              <w:t xml:space="preserve">This bill would instead </w:t>
            </w:r>
            <w:r w:rsidRPr="00547FAB">
              <w:rPr>
                <w:i/>
                <w:iCs/>
                <w:color w:val="auto"/>
              </w:rPr>
              <w:t xml:space="preserve">encourage </w:t>
            </w:r>
            <w:r w:rsidRPr="00547FAB">
              <w:rPr>
                <w:color w:val="auto"/>
              </w:rPr>
              <w:t xml:space="preserve">community colleges to </w:t>
            </w:r>
            <w:r w:rsidRPr="00547FAB">
              <w:rPr>
                <w:i/>
                <w:iCs/>
                <w:color w:val="auto"/>
              </w:rPr>
              <w:t xml:space="preserve">increase the acceptance of </w:t>
            </w:r>
            <w:r w:rsidRPr="00547FAB">
              <w:rPr>
                <w:color w:val="auto"/>
              </w:rPr>
              <w:t xml:space="preserve">credits earned at other community colleges toward the associate degree for transfer.”  </w:t>
            </w:r>
          </w:p>
          <w:p w:rsidR="00E92C74" w:rsidRPr="00547FAB" w:rsidRDefault="00E92C74" w:rsidP="00E92C74">
            <w:pPr>
              <w:autoSpaceDE w:val="0"/>
              <w:autoSpaceDN w:val="0"/>
              <w:adjustRightInd w:val="0"/>
              <w:rPr>
                <w:color w:val="auto"/>
              </w:rPr>
            </w:pPr>
          </w:p>
          <w:p w:rsidR="00E92C74" w:rsidRPr="00547FAB" w:rsidRDefault="00E92C74" w:rsidP="00E92C74">
            <w:pPr>
              <w:autoSpaceDE w:val="0"/>
              <w:autoSpaceDN w:val="0"/>
              <w:adjustRightInd w:val="0"/>
              <w:rPr>
                <w:i/>
                <w:iCs/>
                <w:color w:val="auto"/>
              </w:rPr>
            </w:pPr>
            <w:r w:rsidRPr="00547FAB">
              <w:rPr>
                <w:color w:val="auto"/>
              </w:rPr>
              <w:t xml:space="preserve">(Amended September 2, 2011)---“ </w:t>
            </w:r>
            <w:r w:rsidRPr="00547FAB">
              <w:rPr>
                <w:strike/>
                <w:color w:val="auto"/>
              </w:rPr>
              <w:t>Public postsecondary education: community colleges: transfers</w:t>
            </w:r>
            <w:r w:rsidRPr="00547FAB">
              <w:rPr>
                <w:color w:val="auto"/>
              </w:rPr>
              <w:t xml:space="preserve">. </w:t>
            </w:r>
            <w:r w:rsidRPr="00547FAB">
              <w:rPr>
                <w:i/>
                <w:iCs/>
                <w:color w:val="auto"/>
              </w:rPr>
              <w:t>California Environmental Quality Act: administrative and judicial review procedures: City of Los Angeles: stadium.</w:t>
            </w:r>
          </w:p>
          <w:p w:rsidR="00E92C74" w:rsidRPr="00547FAB" w:rsidRDefault="00E92C74" w:rsidP="00E92C74">
            <w:pPr>
              <w:autoSpaceDE w:val="0"/>
              <w:autoSpaceDN w:val="0"/>
              <w:adjustRightInd w:val="0"/>
              <w:rPr>
                <w:iCs/>
                <w:color w:val="auto"/>
              </w:rPr>
            </w:pPr>
            <w:r w:rsidRPr="00547FAB">
              <w:rPr>
                <w:iCs/>
                <w:color w:val="auto"/>
              </w:rPr>
              <w:t>This bill would make legislative findings and declarations as to the necessity of a special statute for the development of a stadium in the City of Los Angeles.</w:t>
            </w:r>
          </w:p>
          <w:p w:rsidR="007B5672" w:rsidRPr="00547FAB" w:rsidRDefault="00E92C74" w:rsidP="00E92C74">
            <w:pPr>
              <w:autoSpaceDE w:val="0"/>
              <w:autoSpaceDN w:val="0"/>
              <w:adjustRightInd w:val="0"/>
              <w:rPr>
                <w:color w:val="auto"/>
              </w:rPr>
            </w:pPr>
            <w:r w:rsidRPr="00547FAB">
              <w:rPr>
                <w:color w:val="auto"/>
              </w:rPr>
              <w:t xml:space="preserve">            ‘</w:t>
            </w:r>
          </w:p>
          <w:p w:rsidR="00E92C74" w:rsidRPr="00547FAB" w:rsidRDefault="00E92C74" w:rsidP="00E92C74">
            <w:pPr>
              <w:autoSpaceDE w:val="0"/>
              <w:autoSpaceDN w:val="0"/>
              <w:adjustRightInd w:val="0"/>
              <w:rPr>
                <w:rStyle w:val="Strong"/>
                <w:b w:val="0"/>
                <w:bCs w:val="0"/>
                <w:color w:val="auto"/>
              </w:rPr>
            </w:pPr>
          </w:p>
        </w:tc>
      </w:tr>
      <w:tr w:rsidR="002344B6" w:rsidRPr="00547FAB" w:rsidTr="00730EA0">
        <w:tc>
          <w:tcPr>
            <w:tcW w:w="11016" w:type="dxa"/>
          </w:tcPr>
          <w:p w:rsidR="002344B6" w:rsidRDefault="002344B6" w:rsidP="002344B6">
            <w:pPr>
              <w:rPr>
                <w:b/>
              </w:rPr>
            </w:pPr>
          </w:p>
          <w:p w:rsidR="002344B6" w:rsidRDefault="002344B6" w:rsidP="002344B6">
            <w:pPr>
              <w:rPr>
                <w:b/>
              </w:rPr>
            </w:pPr>
          </w:p>
          <w:p w:rsidR="002344B6" w:rsidRDefault="002344B6" w:rsidP="002344B6">
            <w:pPr>
              <w:rPr>
                <w:b/>
              </w:rPr>
            </w:pPr>
          </w:p>
          <w:p w:rsidR="002344B6" w:rsidRDefault="002344B6" w:rsidP="002344B6">
            <w:pPr>
              <w:rPr>
                <w:b/>
              </w:rPr>
            </w:pPr>
          </w:p>
          <w:p w:rsidR="002344B6" w:rsidRDefault="002344B6" w:rsidP="002344B6">
            <w:pPr>
              <w:rPr>
                <w:b/>
              </w:rPr>
            </w:pPr>
          </w:p>
          <w:p w:rsidR="002344B6" w:rsidRDefault="002344B6" w:rsidP="002344B6">
            <w:pPr>
              <w:rPr>
                <w:b/>
              </w:rPr>
            </w:pPr>
          </w:p>
          <w:p w:rsidR="002344B6" w:rsidRPr="002344B6" w:rsidRDefault="002344B6" w:rsidP="002344B6">
            <w:pPr>
              <w:rPr>
                <w:b/>
              </w:rPr>
            </w:pPr>
            <w:r w:rsidRPr="002344B6">
              <w:rPr>
                <w:b/>
              </w:rPr>
              <w:t>SOURCES OF LEGISLATIVE INFORMATION</w:t>
            </w:r>
          </w:p>
          <w:p w:rsidR="002344B6" w:rsidRPr="002344B6" w:rsidRDefault="002344B6" w:rsidP="002344B6">
            <w:pPr>
              <w:rPr>
                <w:b/>
              </w:rPr>
            </w:pPr>
          </w:p>
          <w:p w:rsidR="002344B6" w:rsidRDefault="002344B6" w:rsidP="002344B6">
            <w:r>
              <w:t>Official California Legislative Information:</w:t>
            </w:r>
          </w:p>
          <w:p w:rsidR="002344B6" w:rsidRDefault="002344B6" w:rsidP="002344B6"/>
          <w:p w:rsidR="002344B6" w:rsidRDefault="00692AD6" w:rsidP="002344B6">
            <w:hyperlink r:id="rId8" w:history="1">
              <w:r w:rsidR="002344B6">
                <w:rPr>
                  <w:rStyle w:val="Hyperlink"/>
                </w:rPr>
                <w:t>www.leginfo.ca.gov</w:t>
              </w:r>
            </w:hyperlink>
            <w:r w:rsidR="002344B6">
              <w:t>, Click on “Bill Information”</w:t>
            </w:r>
          </w:p>
          <w:p w:rsidR="002344B6" w:rsidRDefault="002344B6" w:rsidP="002344B6"/>
          <w:p w:rsidR="002344B6" w:rsidRDefault="002344B6" w:rsidP="002344B6">
            <w:r>
              <w:t>Pay special attention to:</w:t>
            </w:r>
          </w:p>
          <w:p w:rsidR="002344B6" w:rsidRDefault="002344B6" w:rsidP="002344B6">
            <w:r>
              <w:t>“Bill Text” (in PDF or HTML)---you can search for Assembly or Senate bills by bill number, author, or keyword, for the text of the current and previous versions of the bill, and “Analyses”---analysis of a bill by Assembly and Senate committees, usually just prior to a hearing in front of that committee.</w:t>
            </w:r>
            <w:r>
              <w:tab/>
              <w:t xml:space="preserve">    </w:t>
            </w:r>
          </w:p>
          <w:p w:rsidR="002344B6" w:rsidRDefault="002344B6" w:rsidP="002344B6"/>
          <w:p w:rsidR="002344B6" w:rsidRDefault="002344B6" w:rsidP="002344B6">
            <w:r>
              <w:t>Websites that cover community college-related bills</w:t>
            </w:r>
          </w:p>
          <w:p w:rsidR="002344B6" w:rsidRDefault="002344B6" w:rsidP="002344B6"/>
          <w:p w:rsidR="002344B6" w:rsidRDefault="002344B6" w:rsidP="002344B6">
            <w:r>
              <w:t>Academic Senate</w:t>
            </w:r>
          </w:p>
          <w:p w:rsidR="002344B6" w:rsidRDefault="00692AD6" w:rsidP="002344B6">
            <w:hyperlink r:id="rId9" w:history="1">
              <w:r w:rsidR="002344B6" w:rsidRPr="00403030">
                <w:rPr>
                  <w:rStyle w:val="Hyperlink"/>
                </w:rPr>
                <w:t>www.asccc.org</w:t>
              </w:r>
            </w:hyperlink>
            <w:r w:rsidR="002344B6">
              <w:t xml:space="preserve">, </w:t>
            </w:r>
            <w:r w:rsidR="002344B6" w:rsidRPr="00FC0EEC">
              <w:t>Click on</w:t>
            </w:r>
            <w:r w:rsidR="002344B6">
              <w:t xml:space="preserve"> “Legislative Issues”</w:t>
            </w:r>
          </w:p>
          <w:p w:rsidR="002344B6" w:rsidRDefault="002344B6" w:rsidP="002344B6"/>
          <w:p w:rsidR="002344B6" w:rsidRDefault="002344B6" w:rsidP="002344B6">
            <w:r>
              <w:t>Faculty Association of California Community Colleges</w:t>
            </w:r>
          </w:p>
          <w:p w:rsidR="002344B6" w:rsidRDefault="00692AD6" w:rsidP="002344B6">
            <w:hyperlink r:id="rId10" w:history="1">
              <w:r w:rsidR="002344B6" w:rsidRPr="00936A9E">
                <w:rPr>
                  <w:rStyle w:val="Hyperlink"/>
                </w:rPr>
                <w:t>www.faccc.org</w:t>
              </w:r>
            </w:hyperlink>
            <w:r w:rsidR="002344B6">
              <w:t>, Click on “Advocacy”</w:t>
            </w:r>
          </w:p>
          <w:p w:rsidR="002344B6" w:rsidRDefault="002344B6" w:rsidP="002344B6"/>
          <w:p w:rsidR="002344B6" w:rsidRDefault="002344B6" w:rsidP="002344B6">
            <w:r>
              <w:t>Chancellor’s Office of the California Community Colleges</w:t>
            </w:r>
          </w:p>
          <w:p w:rsidR="002344B6" w:rsidRDefault="00692AD6" w:rsidP="002344B6">
            <w:hyperlink r:id="rId11" w:history="1">
              <w:r w:rsidR="002344B6">
                <w:rPr>
                  <w:rStyle w:val="Hyperlink"/>
                </w:rPr>
                <w:t>www.cccco.edu</w:t>
              </w:r>
            </w:hyperlink>
            <w:r w:rsidR="002344B6">
              <w:t>, Click on “Chancellor’s Office”/”Divisions”/”Government Relations”</w:t>
            </w:r>
          </w:p>
          <w:p w:rsidR="002344B6" w:rsidRDefault="002344B6" w:rsidP="002344B6"/>
          <w:p w:rsidR="002344B6" w:rsidRDefault="002344B6" w:rsidP="002344B6">
            <w:r>
              <w:t xml:space="preserve">Community College League of </w:t>
            </w:r>
            <w:smartTag w:uri="urn:schemas-microsoft-com:office:smarttags" w:element="place">
              <w:smartTag w:uri="urn:schemas-microsoft-com:office:smarttags" w:element="State">
                <w:r>
                  <w:t>California</w:t>
                </w:r>
              </w:smartTag>
            </w:smartTag>
          </w:p>
          <w:p w:rsidR="002344B6" w:rsidRDefault="00692AD6" w:rsidP="002344B6">
            <w:hyperlink r:id="rId12" w:history="1">
              <w:r w:rsidR="002344B6">
                <w:rPr>
                  <w:rStyle w:val="Hyperlink"/>
                </w:rPr>
                <w:t>www.ccleague</w:t>
              </w:r>
            </w:hyperlink>
            <w:r w:rsidR="002344B6">
              <w:t>.org, Click on “Governmental Relations”</w:t>
            </w:r>
          </w:p>
          <w:p w:rsidR="002344B6" w:rsidRDefault="002344B6" w:rsidP="002344B6"/>
          <w:p w:rsidR="002344B6" w:rsidRDefault="002344B6" w:rsidP="002344B6">
            <w:smartTag w:uri="urn:schemas-microsoft-com:office:smarttags" w:element="place">
              <w:smartTag w:uri="urn:schemas-microsoft-com:office:smarttags" w:element="State">
                <w:r>
                  <w:t>California</w:t>
                </w:r>
              </w:smartTag>
            </w:smartTag>
            <w:r>
              <w:t xml:space="preserve"> Federation of Teachers</w:t>
            </w:r>
          </w:p>
          <w:p w:rsidR="002344B6" w:rsidRDefault="00692AD6" w:rsidP="002344B6">
            <w:hyperlink r:id="rId13" w:history="1">
              <w:r w:rsidR="002344B6">
                <w:rPr>
                  <w:rStyle w:val="Hyperlink"/>
                </w:rPr>
                <w:t>www.cft.org</w:t>
              </w:r>
            </w:hyperlink>
            <w:r w:rsidR="002344B6">
              <w:t>, Click on “Legislative”</w:t>
            </w:r>
          </w:p>
          <w:p w:rsidR="002344B6" w:rsidRDefault="002344B6" w:rsidP="002344B6"/>
          <w:p w:rsidR="002344B6" w:rsidRDefault="002344B6" w:rsidP="002344B6">
            <w:smartTag w:uri="urn:schemas-microsoft-com:office:smarttags" w:element="place">
              <w:smartTag w:uri="urn:schemas-microsoft-com:office:smarttags" w:element="State">
                <w:r>
                  <w:t>California</w:t>
                </w:r>
              </w:smartTag>
            </w:smartTag>
            <w:r>
              <w:t xml:space="preserve"> Teachers Association</w:t>
            </w:r>
          </w:p>
          <w:p w:rsidR="002344B6" w:rsidRDefault="00692AD6" w:rsidP="002344B6">
            <w:pPr>
              <w:rPr>
                <w:rStyle w:val="Strong"/>
              </w:rPr>
            </w:pPr>
            <w:hyperlink r:id="rId14" w:history="1">
              <w:r w:rsidR="002344B6">
                <w:rPr>
                  <w:rStyle w:val="Hyperlink"/>
                </w:rPr>
                <w:t>www.cta.org</w:t>
              </w:r>
            </w:hyperlink>
            <w:r w:rsidR="002344B6">
              <w:t>, Click on “Government Action”</w:t>
            </w:r>
          </w:p>
        </w:tc>
      </w:tr>
      <w:tr w:rsidR="00730EA0" w:rsidRPr="00547FAB" w:rsidTr="00730EA0">
        <w:tc>
          <w:tcPr>
            <w:tcW w:w="11016" w:type="dxa"/>
          </w:tcPr>
          <w:p w:rsidR="002344B6" w:rsidRDefault="002344B6" w:rsidP="00730EA0">
            <w:pPr>
              <w:pStyle w:val="NormalWeb"/>
              <w:jc w:val="both"/>
              <w:rPr>
                <w:rStyle w:val="Strong"/>
              </w:rPr>
            </w:pPr>
          </w:p>
          <w:p w:rsidR="00730EA0" w:rsidRPr="00547FAB" w:rsidRDefault="00547FAB" w:rsidP="00730EA0">
            <w:pPr>
              <w:pStyle w:val="NormalWeb"/>
              <w:jc w:val="both"/>
            </w:pPr>
            <w:r>
              <w:rPr>
                <w:rStyle w:val="Strong"/>
              </w:rPr>
              <w:t>GOVERNOR BROWN’S PENSION REFORM PROPOSAL</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Equal sharing of pension costs - 50%/50% sharing of employer/employee contributions (current and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"Hybrid" risk-sharing pension plan - pension, social security and 401(k) combination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Increase retirement ages - raise retirement age to 67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Require three-year final compensation to stop spiking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Calculate benefits based on regular, recurring pay to stop spiking - only normal rate of base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Limit post-retirement employment - limit all employees to 960 hours of post-retirement employment (current and new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Felons forfeit pension benefits (all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Prohibit retroactive pension increases - prohibit the change of retirement formula for previously served years (all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Prohibit pension holidays - prohibit retirement boards from suspending employer and/or employee contributions in good years (all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Prohibit purchases of service credit (all employees)</w:t>
            </w:r>
          </w:p>
          <w:p w:rsidR="00730EA0" w:rsidRPr="00547FAB" w:rsidRDefault="00730EA0" w:rsidP="00730EA0">
            <w:pPr>
              <w:numPr>
                <w:ilvl w:val="0"/>
                <w:numId w:val="4"/>
              </w:numPr>
              <w:spacing w:before="100" w:beforeAutospacing="1" w:after="100" w:afterAutospacing="1" w:line="270" w:lineRule="atLeast"/>
              <w:rPr>
                <w:rFonts w:eastAsia="Verdana"/>
              </w:rPr>
            </w:pPr>
            <w:r w:rsidRPr="00547FAB">
              <w:rPr>
                <w:rFonts w:eastAsia="Verdana"/>
              </w:rPr>
              <w:t>Increase pension board independence and expertise</w:t>
            </w:r>
          </w:p>
          <w:p w:rsidR="00730EA0" w:rsidRPr="00547FAB" w:rsidRDefault="00730EA0" w:rsidP="00547FAB">
            <w:pPr>
              <w:numPr>
                <w:ilvl w:val="0"/>
                <w:numId w:val="4"/>
              </w:numPr>
              <w:spacing w:before="100" w:beforeAutospacing="1" w:after="100" w:afterAutospacing="1" w:line="270" w:lineRule="atLeast"/>
            </w:pPr>
            <w:r w:rsidRPr="00547FAB">
              <w:rPr>
                <w:rFonts w:eastAsia="Verdana"/>
              </w:rPr>
              <w:t>Reduce retiree health care costs - require state employees to work 15 years (rather than 5) to begin to earn retiree health benefits, and require 25 years of service before maximum state contribution. Encourage local governments to adopt similar provisions. (new employees)</w:t>
            </w:r>
          </w:p>
        </w:tc>
      </w:tr>
      <w:tr w:rsidR="00730EA0" w:rsidRPr="00547FAB" w:rsidTr="00730EA0">
        <w:tc>
          <w:tcPr>
            <w:tcW w:w="11016" w:type="dxa"/>
          </w:tcPr>
          <w:p w:rsidR="002344B6" w:rsidRDefault="002344B6" w:rsidP="00730EA0">
            <w:pPr>
              <w:pStyle w:val="NormalWeb"/>
              <w:jc w:val="both"/>
              <w:rPr>
                <w:rStyle w:val="Strong"/>
              </w:rPr>
            </w:pPr>
          </w:p>
          <w:p w:rsidR="00730EA0" w:rsidRPr="00547FAB" w:rsidRDefault="00547FAB" w:rsidP="00730EA0">
            <w:pPr>
              <w:pStyle w:val="NormalWeb"/>
              <w:jc w:val="both"/>
            </w:pPr>
            <w:r>
              <w:rPr>
                <w:rStyle w:val="Strong"/>
              </w:rPr>
              <w:t>FINANCIAL AID FOR UNDOCUMENTED STUDENTS (AB 131)</w:t>
            </w:r>
          </w:p>
          <w:p w:rsidR="00730EA0" w:rsidRPr="00547FAB" w:rsidRDefault="00730EA0" w:rsidP="00730EA0">
            <w:pPr>
              <w:pStyle w:val="NormalWeb"/>
              <w:jc w:val="both"/>
            </w:pPr>
            <w:r w:rsidRPr="00547FAB">
              <w:t xml:space="preserve">Just days after being signed by Governor Jerry Brown, a referendum was filed on the Dream Act bill (Assembly Bill [AB] 131, Chapter 604/2011). The bill expands eligibility for financial aid, including California Community College Board of Governors' waivers, beginning January 1, 2013, to AB 540 students.  </w:t>
            </w:r>
          </w:p>
          <w:p w:rsidR="00730EA0" w:rsidRPr="00547FAB" w:rsidRDefault="00730EA0" w:rsidP="00730EA0">
            <w:pPr>
              <w:pStyle w:val="NormalWeb"/>
              <w:jc w:val="both"/>
            </w:pPr>
            <w:r w:rsidRPr="00547FAB">
              <w:t>Assembly Member Tim Donnelly (R-Hesperia) filed paperwork on October 10, 2011, for a referendum on the DREAM Act bill (AB 131) and the referendum has qualified for circulation. The measure is titled "Referendum to Overturn State Financial Aid for Undocumented Students."</w:t>
            </w:r>
          </w:p>
          <w:p w:rsidR="00547FAB" w:rsidRPr="00547FAB" w:rsidRDefault="00730EA0" w:rsidP="002344B6">
            <w:pPr>
              <w:pStyle w:val="NormalWeb"/>
              <w:jc w:val="both"/>
            </w:pPr>
            <w:r w:rsidRPr="00547FAB">
              <w:t> If signed by the required number of registered voters (more than 504,000) by the deadline of January 6, 2012, the referendum will be placed on the November 2012 statewide ballot to challenge AB 131. Once on the ballot, the law is repealed if voters cast more "no" votes than "yes" votes on the referendum.</w:t>
            </w:r>
          </w:p>
        </w:tc>
      </w:tr>
      <w:tr w:rsidR="00730EA0" w:rsidRPr="00547FAB" w:rsidTr="00730EA0">
        <w:tc>
          <w:tcPr>
            <w:tcW w:w="11016" w:type="dxa"/>
          </w:tcPr>
          <w:p w:rsidR="002344B6" w:rsidRDefault="002344B6" w:rsidP="00730EA0">
            <w:pPr>
              <w:pStyle w:val="NormalWeb"/>
              <w:jc w:val="both"/>
              <w:rPr>
                <w:b/>
              </w:rPr>
            </w:pPr>
          </w:p>
          <w:p w:rsidR="00730EA0" w:rsidRPr="00547FAB" w:rsidRDefault="00547FAB" w:rsidP="00730EA0">
            <w:pPr>
              <w:pStyle w:val="NormalWeb"/>
              <w:jc w:val="both"/>
              <w:rPr>
                <w:b/>
              </w:rPr>
            </w:pPr>
            <w:r>
              <w:rPr>
                <w:b/>
              </w:rPr>
              <w:t>STUDENT SUCCESS TASK FORCE</w:t>
            </w:r>
          </w:p>
          <w:p w:rsidR="00730EA0" w:rsidRPr="00730EA0" w:rsidRDefault="00730EA0" w:rsidP="00730EA0">
            <w:pPr>
              <w:shd w:val="clear" w:color="auto" w:fill="FFFFFF"/>
              <w:spacing w:before="100" w:beforeAutospacing="1" w:after="100" w:afterAutospacing="1"/>
              <w:jc w:val="both"/>
              <w:rPr>
                <w:color w:val="auto"/>
              </w:rPr>
            </w:pPr>
            <w:r w:rsidRPr="00730EA0">
              <w:rPr>
                <w:color w:val="auto"/>
              </w:rPr>
              <w:t xml:space="preserve">Vice Chancellors Marlene Garcia and Dan Troy provided an initial look at what legislation might be needed to implement the draft recommendations of the Task Force. Both were clear in providing the caveat that the </w:t>
            </w:r>
            <w:r w:rsidRPr="00730EA0">
              <w:rPr>
                <w:color w:val="auto"/>
                <w:u w:val="single"/>
              </w:rPr>
              <w:t>recommendations may change through the vetting or Board of Governors' (BOG) approval process</w:t>
            </w:r>
            <w:r w:rsidRPr="00730EA0">
              <w:rPr>
                <w:color w:val="auto"/>
              </w:rPr>
              <w:t>. Vice Chancellor Garcia noted that the majority of the recommendations could be completed under existing authority of the BOG to amend Title 5 regulations, but about a third of the recommendations may take legislative action to implement: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Common centralized diagnostic assessments (recommendation 2.1)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Support resources for students lacking college readiness (2.4)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Board of Governors fee waiver requirements (3.2)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Base course offerings and schedules on needs of students (4.1)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Stronger community college system office (7.1)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 xml:space="preserve">Categorical program consolidation (8.1) </w:t>
            </w:r>
          </w:p>
          <w:p w:rsidR="00730EA0" w:rsidRPr="00730EA0" w:rsidRDefault="00730EA0" w:rsidP="00730EA0">
            <w:pPr>
              <w:numPr>
                <w:ilvl w:val="0"/>
                <w:numId w:val="2"/>
              </w:numPr>
              <w:shd w:val="clear" w:color="auto" w:fill="FFFFFF"/>
              <w:spacing w:before="100" w:beforeAutospacing="1" w:after="100" w:afterAutospacing="1"/>
              <w:ind w:left="1046"/>
              <w:jc w:val="both"/>
              <w:rPr>
                <w:color w:val="auto"/>
              </w:rPr>
            </w:pPr>
            <w:r w:rsidRPr="00730EA0">
              <w:rPr>
                <w:color w:val="auto"/>
              </w:rPr>
              <w:t>Alternative basic skills funding model (8.3)  </w:t>
            </w:r>
          </w:p>
          <w:p w:rsidR="00730EA0" w:rsidRPr="00730EA0" w:rsidRDefault="00730EA0" w:rsidP="00730EA0">
            <w:pPr>
              <w:shd w:val="clear" w:color="auto" w:fill="FFFFFF"/>
              <w:spacing w:before="100" w:beforeAutospacing="1" w:after="100" w:afterAutospacing="1"/>
              <w:jc w:val="both"/>
              <w:rPr>
                <w:color w:val="auto"/>
              </w:rPr>
            </w:pPr>
            <w:r w:rsidRPr="00730EA0">
              <w:rPr>
                <w:color w:val="auto"/>
              </w:rPr>
              <w:t>Vice Chancellor Troy focused on the recommendations that could have budgeting implications: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 xml:space="preserve">Technology applications to better guide students (recommendation 2.3)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 xml:space="preserve">Alternative basic skills curriculum (5.1)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 xml:space="preserve">Mandatory professional development opportunities (6.1)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 xml:space="preserve">Improved use of professional development resources (6.2)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 xml:space="preserve">Longitudinal student record system (7.4) </w:t>
            </w:r>
          </w:p>
          <w:p w:rsidR="00730EA0" w:rsidRPr="00730EA0" w:rsidRDefault="00730EA0" w:rsidP="00730EA0">
            <w:pPr>
              <w:numPr>
                <w:ilvl w:val="0"/>
                <w:numId w:val="3"/>
              </w:numPr>
              <w:shd w:val="clear" w:color="auto" w:fill="FFFFFF"/>
              <w:spacing w:before="100" w:beforeAutospacing="1" w:after="100" w:afterAutospacing="1"/>
              <w:ind w:left="1046"/>
              <w:jc w:val="both"/>
              <w:rPr>
                <w:color w:val="auto"/>
              </w:rPr>
            </w:pPr>
            <w:r w:rsidRPr="00730EA0">
              <w:rPr>
                <w:color w:val="auto"/>
              </w:rPr>
              <w:t>Invest in Student Success Initiative (8.2)  </w:t>
            </w:r>
          </w:p>
          <w:p w:rsidR="00730EA0" w:rsidRPr="00730EA0" w:rsidRDefault="00730EA0" w:rsidP="00730EA0">
            <w:pPr>
              <w:shd w:val="clear" w:color="auto" w:fill="FFFFFF"/>
              <w:spacing w:before="100" w:beforeAutospacing="1" w:after="100" w:afterAutospacing="1"/>
              <w:jc w:val="both"/>
              <w:rPr>
                <w:color w:val="auto"/>
              </w:rPr>
            </w:pPr>
            <w:r w:rsidRPr="00730EA0">
              <w:rPr>
                <w:color w:val="auto"/>
              </w:rPr>
              <w:t>Senator Liu asked specifically about the lack of a performance-based funding recommendation; the Task Force was created by Senate Bill 1143 (Chapter 409, Statutes of 2010), which was authored by Senator Liu and, as initially drafted, would have implemented a performance-based funding model. Executive Vice Chancellor Erik Skinner answered that significant conversations took place around performance-based funding, and the group heard from many other states that implemented such programs. The Task Force ultimately couldn't come to agreement about implementing performance-based funding, the core issue being the lack of "clear and convincing evidence" to demonstrate that performance-based funding has led to improved student success in other states. The consensus of the Task Force is that performance-based funding is an experiment in progress and decided not to propel California into that experiment. </w:t>
            </w:r>
          </w:p>
          <w:p w:rsidR="00730EA0" w:rsidRPr="00547FAB" w:rsidRDefault="00730EA0" w:rsidP="00A7628D"/>
        </w:tc>
      </w:tr>
    </w:tbl>
    <w:p w:rsidR="00502942" w:rsidRPr="00547FAB" w:rsidRDefault="00502942" w:rsidP="00A7628D"/>
    <w:sectPr w:rsidR="00502942" w:rsidRPr="00547FAB" w:rsidSect="00A7628D">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3E" w:rsidRDefault="00C06E3E" w:rsidP="005E6EAB">
      <w:r>
        <w:separator/>
      </w:r>
    </w:p>
  </w:endnote>
  <w:endnote w:type="continuationSeparator" w:id="0">
    <w:p w:rsidR="00C06E3E" w:rsidRDefault="00C06E3E" w:rsidP="005E6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3E" w:rsidRDefault="00C06E3E" w:rsidP="005E6EAB">
      <w:r>
        <w:separator/>
      </w:r>
    </w:p>
  </w:footnote>
  <w:footnote w:type="continuationSeparator" w:id="0">
    <w:p w:rsidR="00C06E3E" w:rsidRDefault="00C06E3E" w:rsidP="005E6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168A5289"/>
    <w:multiLevelType w:val="multilevel"/>
    <w:tmpl w:val="28769F1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45B74"/>
    <w:multiLevelType w:val="multilevel"/>
    <w:tmpl w:val="60E23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3E0B3D"/>
    <w:multiLevelType w:val="multilevel"/>
    <w:tmpl w:val="969200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D4B3A"/>
    <w:multiLevelType w:val="multilevel"/>
    <w:tmpl w:val="9312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E4145"/>
    <w:rsid w:val="000028E4"/>
    <w:rsid w:val="000041E0"/>
    <w:rsid w:val="00013713"/>
    <w:rsid w:val="00022A48"/>
    <w:rsid w:val="00024F9A"/>
    <w:rsid w:val="000715F6"/>
    <w:rsid w:val="0008036D"/>
    <w:rsid w:val="000C2F41"/>
    <w:rsid w:val="000C4EC1"/>
    <w:rsid w:val="000C5C44"/>
    <w:rsid w:val="000D2375"/>
    <w:rsid w:val="000D3081"/>
    <w:rsid w:val="001164A4"/>
    <w:rsid w:val="00116A6B"/>
    <w:rsid w:val="001622BC"/>
    <w:rsid w:val="00166BB5"/>
    <w:rsid w:val="00174E7B"/>
    <w:rsid w:val="00187766"/>
    <w:rsid w:val="00191175"/>
    <w:rsid w:val="001A5FE1"/>
    <w:rsid w:val="001C0F8B"/>
    <w:rsid w:val="001C312D"/>
    <w:rsid w:val="001D0119"/>
    <w:rsid w:val="00212BEB"/>
    <w:rsid w:val="002159BA"/>
    <w:rsid w:val="002344B6"/>
    <w:rsid w:val="00234E10"/>
    <w:rsid w:val="00257DA7"/>
    <w:rsid w:val="0026220C"/>
    <w:rsid w:val="00271150"/>
    <w:rsid w:val="002739CE"/>
    <w:rsid w:val="00277EBC"/>
    <w:rsid w:val="00285C30"/>
    <w:rsid w:val="002872BB"/>
    <w:rsid w:val="0028792D"/>
    <w:rsid w:val="00291CB3"/>
    <w:rsid w:val="002A4C43"/>
    <w:rsid w:val="002C46FD"/>
    <w:rsid w:val="002C780B"/>
    <w:rsid w:val="002D0A95"/>
    <w:rsid w:val="00310353"/>
    <w:rsid w:val="00373E08"/>
    <w:rsid w:val="003771E2"/>
    <w:rsid w:val="00386C94"/>
    <w:rsid w:val="003906C7"/>
    <w:rsid w:val="003930A0"/>
    <w:rsid w:val="00396A52"/>
    <w:rsid w:val="00400020"/>
    <w:rsid w:val="004120A2"/>
    <w:rsid w:val="0043583C"/>
    <w:rsid w:val="00457F33"/>
    <w:rsid w:val="00461252"/>
    <w:rsid w:val="004644D7"/>
    <w:rsid w:val="00477E3E"/>
    <w:rsid w:val="00487469"/>
    <w:rsid w:val="004B637C"/>
    <w:rsid w:val="004D3B6F"/>
    <w:rsid w:val="004E33CA"/>
    <w:rsid w:val="004F7F04"/>
    <w:rsid w:val="005026FF"/>
    <w:rsid w:val="00502942"/>
    <w:rsid w:val="00503DBD"/>
    <w:rsid w:val="00510A1D"/>
    <w:rsid w:val="00513EAF"/>
    <w:rsid w:val="00515D33"/>
    <w:rsid w:val="0052341F"/>
    <w:rsid w:val="00547EB5"/>
    <w:rsid w:val="00547FAB"/>
    <w:rsid w:val="00550EFA"/>
    <w:rsid w:val="00557CE9"/>
    <w:rsid w:val="00561450"/>
    <w:rsid w:val="005723BB"/>
    <w:rsid w:val="005B43D3"/>
    <w:rsid w:val="005B7035"/>
    <w:rsid w:val="005B73CA"/>
    <w:rsid w:val="005C011A"/>
    <w:rsid w:val="005C13B7"/>
    <w:rsid w:val="005C2CD6"/>
    <w:rsid w:val="005E598E"/>
    <w:rsid w:val="005E6EAB"/>
    <w:rsid w:val="00600605"/>
    <w:rsid w:val="00602A57"/>
    <w:rsid w:val="00610803"/>
    <w:rsid w:val="00624C24"/>
    <w:rsid w:val="0063468E"/>
    <w:rsid w:val="00635AA4"/>
    <w:rsid w:val="0063624E"/>
    <w:rsid w:val="00636441"/>
    <w:rsid w:val="006630AF"/>
    <w:rsid w:val="00663F0E"/>
    <w:rsid w:val="00674895"/>
    <w:rsid w:val="006805CB"/>
    <w:rsid w:val="00692AD6"/>
    <w:rsid w:val="006A57E7"/>
    <w:rsid w:val="006C39F6"/>
    <w:rsid w:val="006D0E94"/>
    <w:rsid w:val="006D7FEC"/>
    <w:rsid w:val="00700FCE"/>
    <w:rsid w:val="00706528"/>
    <w:rsid w:val="00710B47"/>
    <w:rsid w:val="00712677"/>
    <w:rsid w:val="00721F46"/>
    <w:rsid w:val="007258F9"/>
    <w:rsid w:val="00730EA0"/>
    <w:rsid w:val="007338B6"/>
    <w:rsid w:val="00737F79"/>
    <w:rsid w:val="00755DF1"/>
    <w:rsid w:val="00757DE8"/>
    <w:rsid w:val="007B5672"/>
    <w:rsid w:val="007C6004"/>
    <w:rsid w:val="007C7807"/>
    <w:rsid w:val="007C7AE7"/>
    <w:rsid w:val="007D563F"/>
    <w:rsid w:val="007D5CED"/>
    <w:rsid w:val="007E4145"/>
    <w:rsid w:val="007E46E9"/>
    <w:rsid w:val="007F217E"/>
    <w:rsid w:val="007F7883"/>
    <w:rsid w:val="00800FB2"/>
    <w:rsid w:val="00803CBF"/>
    <w:rsid w:val="00804CB0"/>
    <w:rsid w:val="008144DA"/>
    <w:rsid w:val="00827658"/>
    <w:rsid w:val="0085570F"/>
    <w:rsid w:val="00874768"/>
    <w:rsid w:val="0089192B"/>
    <w:rsid w:val="008E2797"/>
    <w:rsid w:val="00910A46"/>
    <w:rsid w:val="009137CD"/>
    <w:rsid w:val="009150BE"/>
    <w:rsid w:val="00934543"/>
    <w:rsid w:val="00941BF9"/>
    <w:rsid w:val="00952572"/>
    <w:rsid w:val="00973D9B"/>
    <w:rsid w:val="00975504"/>
    <w:rsid w:val="00991B5B"/>
    <w:rsid w:val="00994D88"/>
    <w:rsid w:val="00995D91"/>
    <w:rsid w:val="00996C50"/>
    <w:rsid w:val="009B5100"/>
    <w:rsid w:val="009B5DFF"/>
    <w:rsid w:val="009D0F3D"/>
    <w:rsid w:val="00A2219C"/>
    <w:rsid w:val="00A221DA"/>
    <w:rsid w:val="00A47A8B"/>
    <w:rsid w:val="00A577E5"/>
    <w:rsid w:val="00A62CA9"/>
    <w:rsid w:val="00A63339"/>
    <w:rsid w:val="00A66338"/>
    <w:rsid w:val="00A7628D"/>
    <w:rsid w:val="00A777E6"/>
    <w:rsid w:val="00A977D2"/>
    <w:rsid w:val="00AC0F50"/>
    <w:rsid w:val="00AE0D54"/>
    <w:rsid w:val="00B050EE"/>
    <w:rsid w:val="00B062DF"/>
    <w:rsid w:val="00B22000"/>
    <w:rsid w:val="00B57367"/>
    <w:rsid w:val="00B73200"/>
    <w:rsid w:val="00B7508F"/>
    <w:rsid w:val="00B80E5D"/>
    <w:rsid w:val="00B83666"/>
    <w:rsid w:val="00B94093"/>
    <w:rsid w:val="00BA1046"/>
    <w:rsid w:val="00BC69A5"/>
    <w:rsid w:val="00BD3892"/>
    <w:rsid w:val="00BD4F4A"/>
    <w:rsid w:val="00BE4183"/>
    <w:rsid w:val="00BF5F0C"/>
    <w:rsid w:val="00C01BE9"/>
    <w:rsid w:val="00C06E3E"/>
    <w:rsid w:val="00C263F5"/>
    <w:rsid w:val="00C36C79"/>
    <w:rsid w:val="00C57A2F"/>
    <w:rsid w:val="00C7522B"/>
    <w:rsid w:val="00C774CF"/>
    <w:rsid w:val="00C77C6C"/>
    <w:rsid w:val="00CC7E65"/>
    <w:rsid w:val="00CF0AA2"/>
    <w:rsid w:val="00CF56C5"/>
    <w:rsid w:val="00D21C24"/>
    <w:rsid w:val="00D30237"/>
    <w:rsid w:val="00D511D9"/>
    <w:rsid w:val="00D54CED"/>
    <w:rsid w:val="00D66453"/>
    <w:rsid w:val="00D70914"/>
    <w:rsid w:val="00D71905"/>
    <w:rsid w:val="00D76B7E"/>
    <w:rsid w:val="00DC2170"/>
    <w:rsid w:val="00DD697C"/>
    <w:rsid w:val="00DE0FE9"/>
    <w:rsid w:val="00DE2A85"/>
    <w:rsid w:val="00E001DF"/>
    <w:rsid w:val="00E25289"/>
    <w:rsid w:val="00E318D4"/>
    <w:rsid w:val="00E92C74"/>
    <w:rsid w:val="00E96A24"/>
    <w:rsid w:val="00EA11F6"/>
    <w:rsid w:val="00EA1D6A"/>
    <w:rsid w:val="00EA210F"/>
    <w:rsid w:val="00EA7659"/>
    <w:rsid w:val="00EB6CF7"/>
    <w:rsid w:val="00EB72AF"/>
    <w:rsid w:val="00EC008B"/>
    <w:rsid w:val="00EC115B"/>
    <w:rsid w:val="00EC29D7"/>
    <w:rsid w:val="00EC3525"/>
    <w:rsid w:val="00EC6B5C"/>
    <w:rsid w:val="00ED1F7D"/>
    <w:rsid w:val="00EF2F17"/>
    <w:rsid w:val="00F1260A"/>
    <w:rsid w:val="00F152D8"/>
    <w:rsid w:val="00F246FD"/>
    <w:rsid w:val="00F4161F"/>
    <w:rsid w:val="00F83235"/>
    <w:rsid w:val="00FA1B25"/>
    <w:rsid w:val="00FE579D"/>
    <w:rsid w:val="00FF2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8E4"/>
    <w:rPr>
      <w:color w:val="000000"/>
      <w:sz w:val="24"/>
      <w:szCs w:val="24"/>
    </w:rPr>
  </w:style>
  <w:style w:type="paragraph" w:styleId="Heading1">
    <w:name w:val="heading 1"/>
    <w:basedOn w:val="Normal"/>
    <w:link w:val="Heading1Char"/>
    <w:uiPriority w:val="9"/>
    <w:qFormat/>
    <w:rsid w:val="006D7FEC"/>
    <w:pPr>
      <w:spacing w:before="100" w:beforeAutospacing="1" w:after="100" w:afterAutospacing="1"/>
      <w:outlineLvl w:val="0"/>
    </w:pPr>
    <w:rPr>
      <w:b/>
      <w:bCs/>
      <w:color w:val="auto"/>
      <w:kern w:val="36"/>
      <w:sz w:val="48"/>
      <w:szCs w:val="48"/>
    </w:rPr>
  </w:style>
  <w:style w:type="paragraph" w:styleId="Heading5">
    <w:name w:val="heading 5"/>
    <w:basedOn w:val="Normal"/>
    <w:link w:val="Heading5Char"/>
    <w:uiPriority w:val="9"/>
    <w:qFormat/>
    <w:rsid w:val="006D7FEC"/>
    <w:pPr>
      <w:spacing w:before="100" w:beforeAutospacing="1" w:after="100" w:afterAutospacing="1"/>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locked/>
    <w:rsid w:val="00636441"/>
    <w:rPr>
      <w:rFonts w:ascii="Courier New" w:hAnsi="Courier New" w:cs="Courier New"/>
      <w:lang w:val="en-US" w:eastAsia="en-US" w:bidi="ar-SA"/>
    </w:rPr>
  </w:style>
  <w:style w:type="paragraph" w:styleId="HTMLPreformatted">
    <w:name w:val="HTML Preformatted"/>
    <w:basedOn w:val="Normal"/>
    <w:link w:val="HTMLPreformattedChar"/>
    <w:uiPriority w:val="99"/>
    <w:rsid w:val="0063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styleId="Hyperlink">
    <w:name w:val="Hyperlink"/>
    <w:basedOn w:val="DefaultParagraphFont"/>
    <w:rsid w:val="00BC69A5"/>
    <w:rPr>
      <w:color w:val="0000FF"/>
      <w:u w:val="single"/>
    </w:rPr>
  </w:style>
  <w:style w:type="character" w:styleId="FollowedHyperlink">
    <w:name w:val="FollowedHyperlink"/>
    <w:basedOn w:val="DefaultParagraphFont"/>
    <w:rsid w:val="00BC69A5"/>
    <w:rPr>
      <w:color w:val="800080"/>
      <w:u w:val="single"/>
    </w:rPr>
  </w:style>
  <w:style w:type="paragraph" w:styleId="BalloonText">
    <w:name w:val="Balloon Text"/>
    <w:basedOn w:val="Normal"/>
    <w:link w:val="BalloonTextChar"/>
    <w:rsid w:val="00602A57"/>
    <w:rPr>
      <w:rFonts w:ascii="Tahoma" w:hAnsi="Tahoma" w:cs="Tahoma"/>
      <w:sz w:val="16"/>
      <w:szCs w:val="16"/>
    </w:rPr>
  </w:style>
  <w:style w:type="character" w:customStyle="1" w:styleId="BalloonTextChar">
    <w:name w:val="Balloon Text Char"/>
    <w:basedOn w:val="DefaultParagraphFont"/>
    <w:link w:val="BalloonText"/>
    <w:rsid w:val="00602A57"/>
    <w:rPr>
      <w:rFonts w:ascii="Tahoma" w:hAnsi="Tahoma" w:cs="Tahoma"/>
      <w:color w:val="000000"/>
      <w:sz w:val="16"/>
      <w:szCs w:val="16"/>
    </w:rPr>
  </w:style>
  <w:style w:type="paragraph" w:styleId="Header">
    <w:name w:val="header"/>
    <w:basedOn w:val="Normal"/>
    <w:link w:val="HeaderChar"/>
    <w:rsid w:val="005E6EAB"/>
    <w:pPr>
      <w:tabs>
        <w:tab w:val="center" w:pos="4680"/>
        <w:tab w:val="right" w:pos="9360"/>
      </w:tabs>
    </w:pPr>
  </w:style>
  <w:style w:type="character" w:customStyle="1" w:styleId="HeaderChar">
    <w:name w:val="Header Char"/>
    <w:basedOn w:val="DefaultParagraphFont"/>
    <w:link w:val="Header"/>
    <w:rsid w:val="005E6EAB"/>
    <w:rPr>
      <w:color w:val="000000"/>
      <w:sz w:val="24"/>
      <w:szCs w:val="24"/>
    </w:rPr>
  </w:style>
  <w:style w:type="paragraph" w:styleId="Footer">
    <w:name w:val="footer"/>
    <w:basedOn w:val="Normal"/>
    <w:link w:val="FooterChar"/>
    <w:rsid w:val="005E6EAB"/>
    <w:pPr>
      <w:tabs>
        <w:tab w:val="center" w:pos="4680"/>
        <w:tab w:val="right" w:pos="9360"/>
      </w:tabs>
    </w:pPr>
  </w:style>
  <w:style w:type="character" w:customStyle="1" w:styleId="FooterChar">
    <w:name w:val="Footer Char"/>
    <w:basedOn w:val="DefaultParagraphFont"/>
    <w:link w:val="Footer"/>
    <w:rsid w:val="005E6EAB"/>
    <w:rPr>
      <w:color w:val="000000"/>
      <w:sz w:val="24"/>
      <w:szCs w:val="24"/>
    </w:rPr>
  </w:style>
  <w:style w:type="character" w:styleId="Strong">
    <w:name w:val="Strong"/>
    <w:basedOn w:val="DefaultParagraphFont"/>
    <w:uiPriority w:val="22"/>
    <w:qFormat/>
    <w:rsid w:val="006C39F6"/>
    <w:rPr>
      <w:b/>
      <w:bCs/>
    </w:rPr>
  </w:style>
  <w:style w:type="character" w:customStyle="1" w:styleId="Heading1Char">
    <w:name w:val="Heading 1 Char"/>
    <w:basedOn w:val="DefaultParagraphFont"/>
    <w:link w:val="Heading1"/>
    <w:uiPriority w:val="9"/>
    <w:rsid w:val="006D7FEC"/>
    <w:rPr>
      <w:b/>
      <w:bCs/>
      <w:kern w:val="36"/>
      <w:sz w:val="48"/>
      <w:szCs w:val="48"/>
    </w:rPr>
  </w:style>
  <w:style w:type="character" w:customStyle="1" w:styleId="Heading5Char">
    <w:name w:val="Heading 5 Char"/>
    <w:basedOn w:val="DefaultParagraphFont"/>
    <w:link w:val="Heading5"/>
    <w:uiPriority w:val="9"/>
    <w:rsid w:val="006D7FEC"/>
    <w:rPr>
      <w:b/>
      <w:bCs/>
    </w:rPr>
  </w:style>
  <w:style w:type="paragraph" w:styleId="NormalWeb">
    <w:name w:val="Normal (Web)"/>
    <w:basedOn w:val="Normal"/>
    <w:uiPriority w:val="99"/>
    <w:unhideWhenUsed/>
    <w:rsid w:val="006D7FEC"/>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9791108">
      <w:bodyDiv w:val="1"/>
      <w:marLeft w:val="0"/>
      <w:marRight w:val="0"/>
      <w:marTop w:val="0"/>
      <w:marBottom w:val="0"/>
      <w:divBdr>
        <w:top w:val="none" w:sz="0" w:space="0" w:color="auto"/>
        <w:left w:val="none" w:sz="0" w:space="0" w:color="auto"/>
        <w:bottom w:val="none" w:sz="0" w:space="0" w:color="auto"/>
        <w:right w:val="none" w:sz="0" w:space="0" w:color="auto"/>
      </w:divBdr>
    </w:div>
    <w:div w:id="94792704">
      <w:bodyDiv w:val="1"/>
      <w:marLeft w:val="0"/>
      <w:marRight w:val="0"/>
      <w:marTop w:val="0"/>
      <w:marBottom w:val="0"/>
      <w:divBdr>
        <w:top w:val="none" w:sz="0" w:space="0" w:color="auto"/>
        <w:left w:val="none" w:sz="0" w:space="0" w:color="auto"/>
        <w:bottom w:val="none" w:sz="0" w:space="0" w:color="auto"/>
        <w:right w:val="none" w:sz="0" w:space="0" w:color="auto"/>
      </w:divBdr>
    </w:div>
    <w:div w:id="308943731">
      <w:bodyDiv w:val="1"/>
      <w:marLeft w:val="0"/>
      <w:marRight w:val="0"/>
      <w:marTop w:val="0"/>
      <w:marBottom w:val="0"/>
      <w:divBdr>
        <w:top w:val="none" w:sz="0" w:space="0" w:color="auto"/>
        <w:left w:val="none" w:sz="0" w:space="0" w:color="auto"/>
        <w:bottom w:val="none" w:sz="0" w:space="0" w:color="auto"/>
        <w:right w:val="none" w:sz="0" w:space="0" w:color="auto"/>
      </w:divBdr>
    </w:div>
    <w:div w:id="32396892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09070670">
          <w:marLeft w:val="0"/>
          <w:marRight w:val="0"/>
          <w:marTop w:val="0"/>
          <w:marBottom w:val="0"/>
          <w:divBdr>
            <w:top w:val="none" w:sz="0" w:space="0" w:color="auto"/>
            <w:left w:val="none" w:sz="0" w:space="0" w:color="auto"/>
            <w:bottom w:val="none" w:sz="0" w:space="0" w:color="auto"/>
            <w:right w:val="none" w:sz="0" w:space="0" w:color="auto"/>
          </w:divBdr>
          <w:divsChild>
            <w:div w:id="1925530669">
              <w:marLeft w:val="0"/>
              <w:marRight w:val="0"/>
              <w:marTop w:val="0"/>
              <w:marBottom w:val="0"/>
              <w:divBdr>
                <w:top w:val="none" w:sz="0" w:space="0" w:color="auto"/>
                <w:left w:val="none" w:sz="0" w:space="0" w:color="auto"/>
                <w:bottom w:val="none" w:sz="0" w:space="0" w:color="auto"/>
                <w:right w:val="none" w:sz="0" w:space="0" w:color="auto"/>
              </w:divBdr>
              <w:divsChild>
                <w:div w:id="1199272127">
                  <w:marLeft w:val="136"/>
                  <w:marRight w:val="0"/>
                  <w:marTop w:val="0"/>
                  <w:marBottom w:val="0"/>
                  <w:divBdr>
                    <w:top w:val="none" w:sz="0" w:space="0" w:color="auto"/>
                    <w:left w:val="none" w:sz="0" w:space="0" w:color="auto"/>
                    <w:bottom w:val="none" w:sz="0" w:space="0" w:color="auto"/>
                    <w:right w:val="none" w:sz="0" w:space="0" w:color="auto"/>
                  </w:divBdr>
                  <w:divsChild>
                    <w:div w:id="255402345">
                      <w:marLeft w:val="0"/>
                      <w:marRight w:val="0"/>
                      <w:marTop w:val="475"/>
                      <w:marBottom w:val="0"/>
                      <w:divBdr>
                        <w:top w:val="none" w:sz="0" w:space="0" w:color="auto"/>
                        <w:left w:val="none" w:sz="0" w:space="0" w:color="auto"/>
                        <w:bottom w:val="none" w:sz="0" w:space="0" w:color="auto"/>
                        <w:right w:val="none" w:sz="0" w:space="0" w:color="auto"/>
                      </w:divBdr>
                      <w:divsChild>
                        <w:div w:id="2075736956">
                          <w:marLeft w:val="54"/>
                          <w:marRight w:val="54"/>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21524">
      <w:bodyDiv w:val="1"/>
      <w:marLeft w:val="0"/>
      <w:marRight w:val="0"/>
      <w:marTop w:val="0"/>
      <w:marBottom w:val="0"/>
      <w:divBdr>
        <w:top w:val="none" w:sz="0" w:space="0" w:color="auto"/>
        <w:left w:val="none" w:sz="0" w:space="0" w:color="auto"/>
        <w:bottom w:val="none" w:sz="0" w:space="0" w:color="auto"/>
        <w:right w:val="none" w:sz="0" w:space="0" w:color="auto"/>
      </w:divBdr>
    </w:div>
    <w:div w:id="330376207">
      <w:bodyDiv w:val="1"/>
      <w:marLeft w:val="0"/>
      <w:marRight w:val="0"/>
      <w:marTop w:val="0"/>
      <w:marBottom w:val="0"/>
      <w:divBdr>
        <w:top w:val="none" w:sz="0" w:space="0" w:color="auto"/>
        <w:left w:val="none" w:sz="0" w:space="0" w:color="auto"/>
        <w:bottom w:val="none" w:sz="0" w:space="0" w:color="auto"/>
        <w:right w:val="none" w:sz="0" w:space="0" w:color="auto"/>
      </w:divBdr>
    </w:div>
    <w:div w:id="628631534">
      <w:bodyDiv w:val="1"/>
      <w:marLeft w:val="0"/>
      <w:marRight w:val="0"/>
      <w:marTop w:val="0"/>
      <w:marBottom w:val="0"/>
      <w:divBdr>
        <w:top w:val="none" w:sz="0" w:space="0" w:color="auto"/>
        <w:left w:val="none" w:sz="0" w:space="0" w:color="auto"/>
        <w:bottom w:val="none" w:sz="0" w:space="0" w:color="auto"/>
        <w:right w:val="none" w:sz="0" w:space="0" w:color="auto"/>
      </w:divBdr>
    </w:div>
    <w:div w:id="669941455">
      <w:bodyDiv w:val="1"/>
      <w:marLeft w:val="0"/>
      <w:marRight w:val="0"/>
      <w:marTop w:val="0"/>
      <w:marBottom w:val="0"/>
      <w:divBdr>
        <w:top w:val="none" w:sz="0" w:space="0" w:color="auto"/>
        <w:left w:val="none" w:sz="0" w:space="0" w:color="auto"/>
        <w:bottom w:val="none" w:sz="0" w:space="0" w:color="auto"/>
        <w:right w:val="none" w:sz="0" w:space="0" w:color="auto"/>
      </w:divBdr>
    </w:div>
    <w:div w:id="894506441">
      <w:bodyDiv w:val="1"/>
      <w:marLeft w:val="0"/>
      <w:marRight w:val="0"/>
      <w:marTop w:val="0"/>
      <w:marBottom w:val="0"/>
      <w:divBdr>
        <w:top w:val="none" w:sz="0" w:space="0" w:color="auto"/>
        <w:left w:val="none" w:sz="0" w:space="0" w:color="auto"/>
        <w:bottom w:val="none" w:sz="0" w:space="0" w:color="auto"/>
        <w:right w:val="none" w:sz="0" w:space="0" w:color="auto"/>
      </w:divBdr>
    </w:div>
    <w:div w:id="950206874">
      <w:bodyDiv w:val="1"/>
      <w:marLeft w:val="0"/>
      <w:marRight w:val="0"/>
      <w:marTop w:val="0"/>
      <w:marBottom w:val="0"/>
      <w:divBdr>
        <w:top w:val="none" w:sz="0" w:space="0" w:color="auto"/>
        <w:left w:val="none" w:sz="0" w:space="0" w:color="auto"/>
        <w:bottom w:val="none" w:sz="0" w:space="0" w:color="auto"/>
        <w:right w:val="none" w:sz="0" w:space="0" w:color="auto"/>
      </w:divBdr>
    </w:div>
    <w:div w:id="972173173">
      <w:bodyDiv w:val="1"/>
      <w:marLeft w:val="0"/>
      <w:marRight w:val="0"/>
      <w:marTop w:val="0"/>
      <w:marBottom w:val="0"/>
      <w:divBdr>
        <w:top w:val="none" w:sz="0" w:space="0" w:color="auto"/>
        <w:left w:val="none" w:sz="0" w:space="0" w:color="auto"/>
        <w:bottom w:val="none" w:sz="0" w:space="0" w:color="auto"/>
        <w:right w:val="none" w:sz="0" w:space="0" w:color="auto"/>
      </w:divBdr>
    </w:div>
    <w:div w:id="1080951121">
      <w:bodyDiv w:val="1"/>
      <w:marLeft w:val="0"/>
      <w:marRight w:val="0"/>
      <w:marTop w:val="0"/>
      <w:marBottom w:val="0"/>
      <w:divBdr>
        <w:top w:val="none" w:sz="0" w:space="0" w:color="auto"/>
        <w:left w:val="none" w:sz="0" w:space="0" w:color="auto"/>
        <w:bottom w:val="none" w:sz="0" w:space="0" w:color="auto"/>
        <w:right w:val="none" w:sz="0" w:space="0" w:color="auto"/>
      </w:divBdr>
    </w:div>
    <w:div w:id="1087311611">
      <w:bodyDiv w:val="1"/>
      <w:marLeft w:val="0"/>
      <w:marRight w:val="0"/>
      <w:marTop w:val="0"/>
      <w:marBottom w:val="0"/>
      <w:divBdr>
        <w:top w:val="none" w:sz="0" w:space="0" w:color="auto"/>
        <w:left w:val="none" w:sz="0" w:space="0" w:color="auto"/>
        <w:bottom w:val="none" w:sz="0" w:space="0" w:color="auto"/>
        <w:right w:val="none" w:sz="0" w:space="0" w:color="auto"/>
      </w:divBdr>
    </w:div>
    <w:div w:id="1157376926">
      <w:bodyDiv w:val="1"/>
      <w:marLeft w:val="0"/>
      <w:marRight w:val="0"/>
      <w:marTop w:val="0"/>
      <w:marBottom w:val="0"/>
      <w:divBdr>
        <w:top w:val="none" w:sz="0" w:space="0" w:color="auto"/>
        <w:left w:val="none" w:sz="0" w:space="0" w:color="auto"/>
        <w:bottom w:val="none" w:sz="0" w:space="0" w:color="auto"/>
        <w:right w:val="none" w:sz="0" w:space="0" w:color="auto"/>
      </w:divBdr>
    </w:div>
    <w:div w:id="1172178621">
      <w:bodyDiv w:val="1"/>
      <w:marLeft w:val="0"/>
      <w:marRight w:val="0"/>
      <w:marTop w:val="0"/>
      <w:marBottom w:val="0"/>
      <w:divBdr>
        <w:top w:val="none" w:sz="0" w:space="0" w:color="auto"/>
        <w:left w:val="none" w:sz="0" w:space="0" w:color="auto"/>
        <w:bottom w:val="none" w:sz="0" w:space="0" w:color="auto"/>
        <w:right w:val="none" w:sz="0" w:space="0" w:color="auto"/>
      </w:divBdr>
    </w:div>
    <w:div w:id="1261060482">
      <w:bodyDiv w:val="1"/>
      <w:marLeft w:val="0"/>
      <w:marRight w:val="0"/>
      <w:marTop w:val="0"/>
      <w:marBottom w:val="0"/>
      <w:divBdr>
        <w:top w:val="none" w:sz="0" w:space="0" w:color="auto"/>
        <w:left w:val="none" w:sz="0" w:space="0" w:color="auto"/>
        <w:bottom w:val="none" w:sz="0" w:space="0" w:color="auto"/>
        <w:right w:val="none" w:sz="0" w:space="0" w:color="auto"/>
      </w:divBdr>
    </w:div>
    <w:div w:id="1296905804">
      <w:bodyDiv w:val="1"/>
      <w:marLeft w:val="0"/>
      <w:marRight w:val="0"/>
      <w:marTop w:val="0"/>
      <w:marBottom w:val="0"/>
      <w:divBdr>
        <w:top w:val="none" w:sz="0" w:space="0" w:color="auto"/>
        <w:left w:val="none" w:sz="0" w:space="0" w:color="auto"/>
        <w:bottom w:val="none" w:sz="0" w:space="0" w:color="auto"/>
        <w:right w:val="none" w:sz="0" w:space="0" w:color="auto"/>
      </w:divBdr>
    </w:div>
    <w:div w:id="1297492163">
      <w:bodyDiv w:val="1"/>
      <w:marLeft w:val="0"/>
      <w:marRight w:val="0"/>
      <w:marTop w:val="0"/>
      <w:marBottom w:val="0"/>
      <w:divBdr>
        <w:top w:val="none" w:sz="0" w:space="0" w:color="auto"/>
        <w:left w:val="none" w:sz="0" w:space="0" w:color="auto"/>
        <w:bottom w:val="none" w:sz="0" w:space="0" w:color="auto"/>
        <w:right w:val="none" w:sz="0" w:space="0" w:color="auto"/>
      </w:divBdr>
    </w:div>
    <w:div w:id="1414276784">
      <w:bodyDiv w:val="1"/>
      <w:marLeft w:val="0"/>
      <w:marRight w:val="0"/>
      <w:marTop w:val="0"/>
      <w:marBottom w:val="0"/>
      <w:divBdr>
        <w:top w:val="none" w:sz="0" w:space="0" w:color="auto"/>
        <w:left w:val="none" w:sz="0" w:space="0" w:color="auto"/>
        <w:bottom w:val="none" w:sz="0" w:space="0" w:color="auto"/>
        <w:right w:val="none" w:sz="0" w:space="0" w:color="auto"/>
      </w:divBdr>
    </w:div>
    <w:div w:id="1518033302">
      <w:bodyDiv w:val="1"/>
      <w:marLeft w:val="0"/>
      <w:marRight w:val="0"/>
      <w:marTop w:val="0"/>
      <w:marBottom w:val="0"/>
      <w:divBdr>
        <w:top w:val="none" w:sz="0" w:space="0" w:color="auto"/>
        <w:left w:val="none" w:sz="0" w:space="0" w:color="auto"/>
        <w:bottom w:val="none" w:sz="0" w:space="0" w:color="auto"/>
        <w:right w:val="none" w:sz="0" w:space="0" w:color="auto"/>
      </w:divBdr>
    </w:div>
    <w:div w:id="1603221331">
      <w:bodyDiv w:val="1"/>
      <w:marLeft w:val="0"/>
      <w:marRight w:val="0"/>
      <w:marTop w:val="0"/>
      <w:marBottom w:val="0"/>
      <w:divBdr>
        <w:top w:val="none" w:sz="0" w:space="0" w:color="auto"/>
        <w:left w:val="none" w:sz="0" w:space="0" w:color="auto"/>
        <w:bottom w:val="none" w:sz="0" w:space="0" w:color="auto"/>
        <w:right w:val="none" w:sz="0" w:space="0" w:color="auto"/>
      </w:divBdr>
    </w:div>
    <w:div w:id="1620450224">
      <w:bodyDiv w:val="1"/>
      <w:marLeft w:val="0"/>
      <w:marRight w:val="0"/>
      <w:marTop w:val="0"/>
      <w:marBottom w:val="0"/>
      <w:divBdr>
        <w:top w:val="none" w:sz="0" w:space="0" w:color="auto"/>
        <w:left w:val="none" w:sz="0" w:space="0" w:color="auto"/>
        <w:bottom w:val="none" w:sz="0" w:space="0" w:color="auto"/>
        <w:right w:val="none" w:sz="0" w:space="0" w:color="auto"/>
      </w:divBdr>
    </w:div>
    <w:div w:id="1627269238">
      <w:bodyDiv w:val="1"/>
      <w:marLeft w:val="0"/>
      <w:marRight w:val="0"/>
      <w:marTop w:val="0"/>
      <w:marBottom w:val="0"/>
      <w:divBdr>
        <w:top w:val="none" w:sz="0" w:space="0" w:color="auto"/>
        <w:left w:val="none" w:sz="0" w:space="0" w:color="auto"/>
        <w:bottom w:val="none" w:sz="0" w:space="0" w:color="auto"/>
        <w:right w:val="none" w:sz="0" w:space="0" w:color="auto"/>
      </w:divBdr>
    </w:div>
    <w:div w:id="1642298272">
      <w:bodyDiv w:val="1"/>
      <w:marLeft w:val="0"/>
      <w:marRight w:val="0"/>
      <w:marTop w:val="0"/>
      <w:marBottom w:val="0"/>
      <w:divBdr>
        <w:top w:val="none" w:sz="0" w:space="0" w:color="auto"/>
        <w:left w:val="none" w:sz="0" w:space="0" w:color="auto"/>
        <w:bottom w:val="none" w:sz="0" w:space="0" w:color="auto"/>
        <w:right w:val="none" w:sz="0" w:space="0" w:color="auto"/>
      </w:divBdr>
    </w:div>
    <w:div w:id="1732389158">
      <w:bodyDiv w:val="1"/>
      <w:marLeft w:val="0"/>
      <w:marRight w:val="0"/>
      <w:marTop w:val="0"/>
      <w:marBottom w:val="0"/>
      <w:divBdr>
        <w:top w:val="none" w:sz="0" w:space="0" w:color="auto"/>
        <w:left w:val="none" w:sz="0" w:space="0" w:color="auto"/>
        <w:bottom w:val="none" w:sz="0" w:space="0" w:color="auto"/>
        <w:right w:val="none" w:sz="0" w:space="0" w:color="auto"/>
      </w:divBdr>
    </w:div>
    <w:div w:id="1735010921">
      <w:bodyDiv w:val="1"/>
      <w:marLeft w:val="0"/>
      <w:marRight w:val="0"/>
      <w:marTop w:val="0"/>
      <w:marBottom w:val="0"/>
      <w:divBdr>
        <w:top w:val="none" w:sz="0" w:space="0" w:color="auto"/>
        <w:left w:val="none" w:sz="0" w:space="0" w:color="auto"/>
        <w:bottom w:val="none" w:sz="0" w:space="0" w:color="auto"/>
        <w:right w:val="none" w:sz="0" w:space="0" w:color="auto"/>
      </w:divBdr>
    </w:div>
    <w:div w:id="1860854793">
      <w:bodyDiv w:val="1"/>
      <w:marLeft w:val="0"/>
      <w:marRight w:val="0"/>
      <w:marTop w:val="0"/>
      <w:marBottom w:val="0"/>
      <w:divBdr>
        <w:top w:val="none" w:sz="0" w:space="0" w:color="auto"/>
        <w:left w:val="none" w:sz="0" w:space="0" w:color="auto"/>
        <w:bottom w:val="none" w:sz="0" w:space="0" w:color="auto"/>
        <w:right w:val="none" w:sz="0" w:space="0" w:color="auto"/>
      </w:divBdr>
    </w:div>
    <w:div w:id="2018462701">
      <w:bodyDiv w:val="1"/>
      <w:marLeft w:val="0"/>
      <w:marRight w:val="0"/>
      <w:marTop w:val="0"/>
      <w:marBottom w:val="0"/>
      <w:divBdr>
        <w:top w:val="none" w:sz="0" w:space="0" w:color="auto"/>
        <w:left w:val="none" w:sz="0" w:space="0" w:color="auto"/>
        <w:bottom w:val="none" w:sz="0" w:space="0" w:color="auto"/>
        <w:right w:val="none" w:sz="0" w:space="0" w:color="auto"/>
      </w:divBdr>
    </w:div>
    <w:div w:id="2045404374">
      <w:bodyDiv w:val="1"/>
      <w:marLeft w:val="0"/>
      <w:marRight w:val="0"/>
      <w:marTop w:val="0"/>
      <w:marBottom w:val="0"/>
      <w:divBdr>
        <w:top w:val="none" w:sz="0" w:space="0" w:color="auto"/>
        <w:left w:val="none" w:sz="0" w:space="0" w:color="auto"/>
        <w:bottom w:val="none" w:sz="0" w:space="0" w:color="auto"/>
        <w:right w:val="none" w:sz="0" w:space="0" w:color="auto"/>
      </w:divBdr>
    </w:div>
    <w:div w:id="2089303597">
      <w:bodyDiv w:val="1"/>
      <w:marLeft w:val="0"/>
      <w:marRight w:val="0"/>
      <w:marTop w:val="0"/>
      <w:marBottom w:val="0"/>
      <w:divBdr>
        <w:top w:val="none" w:sz="0" w:space="0" w:color="auto"/>
        <w:left w:val="none" w:sz="0" w:space="0" w:color="auto"/>
        <w:bottom w:val="none" w:sz="0" w:space="0" w:color="auto"/>
        <w:right w:val="none" w:sz="0" w:space="0" w:color="auto"/>
      </w:divBdr>
    </w:div>
    <w:div w:id="2111117158">
      <w:bodyDiv w:val="1"/>
      <w:marLeft w:val="0"/>
      <w:marRight w:val="0"/>
      <w:marTop w:val="0"/>
      <w:marBottom w:val="0"/>
      <w:divBdr>
        <w:top w:val="none" w:sz="0" w:space="0" w:color="auto"/>
        <w:left w:val="none" w:sz="0" w:space="0" w:color="auto"/>
        <w:bottom w:val="none" w:sz="0" w:space="0" w:color="auto"/>
        <w:right w:val="none" w:sz="0" w:space="0" w:color="auto"/>
      </w:divBdr>
    </w:div>
    <w:div w:id="2117870089">
      <w:bodyDiv w:val="1"/>
      <w:marLeft w:val="0"/>
      <w:marRight w:val="0"/>
      <w:marTop w:val="0"/>
      <w:marBottom w:val="0"/>
      <w:divBdr>
        <w:top w:val="none" w:sz="0" w:space="0" w:color="auto"/>
        <w:left w:val="none" w:sz="0" w:space="0" w:color="auto"/>
        <w:bottom w:val="none" w:sz="0" w:space="0" w:color="auto"/>
        <w:right w:val="none" w:sz="0" w:space="0" w:color="auto"/>
      </w:divBdr>
    </w:div>
    <w:div w:id="21472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 TargetMode="External"/><Relationship Id="rId13" Type="http://schemas.openxmlformats.org/officeDocument/2006/relationships/hyperlink" Target="http://www.c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leag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c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cc.org" TargetMode="External"/><Relationship Id="rId4" Type="http://schemas.openxmlformats.org/officeDocument/2006/relationships/settings" Target="settings.xml"/><Relationship Id="rId9" Type="http://schemas.openxmlformats.org/officeDocument/2006/relationships/hyperlink" Target="http://www.asccc.org" TargetMode="External"/><Relationship Id="rId14" Type="http://schemas.openxmlformats.org/officeDocument/2006/relationships/hyperlink" Target="http://www.c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2BF5-8F1C-487A-B79B-6566D203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ASCCC Legislative Bills for 2009</vt:lpstr>
    </vt:vector>
  </TitlesOfParts>
  <Company>Butte-Glenn Community College District</Company>
  <LinksUpToDate>false</LinksUpToDate>
  <CharactersWithSpaces>9919</CharactersWithSpaces>
  <SharedDoc>false</SharedDoc>
  <HLinks>
    <vt:vector size="6" baseType="variant">
      <vt:variant>
        <vt:i4>2883684</vt:i4>
      </vt:variant>
      <vt:variant>
        <vt:i4>0</vt:i4>
      </vt:variant>
      <vt:variant>
        <vt:i4>0</vt:i4>
      </vt:variant>
      <vt:variant>
        <vt:i4>5</vt:i4>
      </vt:variant>
      <vt:variant>
        <vt:lpwstr>http://www.leginfo.ca.gov/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Legislative Bills for 2009</dc:title>
  <dc:subject/>
  <dc:creator>vogelsh</dc:creator>
  <cp:keywords/>
  <dc:description/>
  <cp:lastModifiedBy>W0003305</cp:lastModifiedBy>
  <cp:revision>2</cp:revision>
  <cp:lastPrinted>2011-11-01T00:11:00Z</cp:lastPrinted>
  <dcterms:created xsi:type="dcterms:W3CDTF">2011-11-02T00:55:00Z</dcterms:created>
  <dcterms:modified xsi:type="dcterms:W3CDTF">2011-11-02T00:55:00Z</dcterms:modified>
</cp:coreProperties>
</file>