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019C8394"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40">
        <w:t>f</w:t>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5C80A6F7" w:rsidR="0080639A" w:rsidRPr="0080639A" w:rsidRDefault="00D857D5" w:rsidP="00A4282D">
      <w:pPr>
        <w:pStyle w:val="Title"/>
        <w:rPr>
          <w:rFonts w:asciiTheme="majorHAnsi" w:hAnsiTheme="majorHAnsi"/>
        </w:rPr>
      </w:pPr>
      <w:r>
        <w:rPr>
          <w:rFonts w:asciiTheme="majorHAnsi" w:hAnsiTheme="majorHAnsi"/>
        </w:rPr>
        <w:t xml:space="preserve">ASCCC </w:t>
      </w:r>
      <w:r w:rsidR="00C85A85">
        <w:rPr>
          <w:rFonts w:asciiTheme="majorHAnsi" w:hAnsiTheme="majorHAnsi"/>
        </w:rPr>
        <w:t>Transfer, Articulation and Student Services Committee (TA</w:t>
      </w:r>
      <w:r w:rsidR="001F5ADC">
        <w:rPr>
          <w:rFonts w:asciiTheme="majorHAnsi" w:hAnsiTheme="majorHAnsi"/>
        </w:rPr>
        <w:t>SS</w:t>
      </w:r>
      <w:r w:rsidR="00C85A85">
        <w:rPr>
          <w:rFonts w:asciiTheme="majorHAnsi" w:hAnsiTheme="majorHAnsi"/>
        </w:rPr>
        <w:t>C)</w:t>
      </w:r>
      <w:r>
        <w:rPr>
          <w:rFonts w:asciiTheme="majorHAnsi" w:hAnsiTheme="majorHAnsi"/>
        </w:rPr>
        <w:t xml:space="preserve"> </w:t>
      </w:r>
    </w:p>
    <w:p w14:paraId="1FEF4977" w14:textId="0EDBC6F2" w:rsidR="00B07F66" w:rsidRPr="00CD1C6C" w:rsidRDefault="000F2E8F" w:rsidP="0080639A">
      <w:pPr>
        <w:pStyle w:val="Title"/>
        <w:rPr>
          <w:rFonts w:asciiTheme="majorHAnsi" w:hAnsiTheme="majorHAnsi"/>
          <w:sz w:val="24"/>
          <w:szCs w:val="20"/>
        </w:rPr>
      </w:pPr>
      <w:r>
        <w:rPr>
          <w:rFonts w:asciiTheme="majorHAnsi" w:hAnsiTheme="majorHAnsi"/>
          <w:sz w:val="24"/>
          <w:szCs w:val="20"/>
        </w:rPr>
        <w:t>August 29, 2022</w:t>
      </w:r>
    </w:p>
    <w:p w14:paraId="13A922A1" w14:textId="77777777" w:rsidR="00CD1C6C" w:rsidRDefault="00CD1C6C" w:rsidP="0080639A">
      <w:pPr>
        <w:pStyle w:val="Title"/>
        <w:rPr>
          <w:rFonts w:asciiTheme="majorHAnsi" w:hAnsiTheme="majorHAnsi"/>
          <w:sz w:val="20"/>
          <w:szCs w:val="20"/>
        </w:rPr>
      </w:pPr>
    </w:p>
    <w:p w14:paraId="302502C0" w14:textId="64AE4209" w:rsidR="00BA6046" w:rsidRDefault="00A16C24" w:rsidP="0080639A">
      <w:pPr>
        <w:pStyle w:val="Title"/>
        <w:rPr>
          <w:rStyle w:val="Hyperlink"/>
          <w:rFonts w:asciiTheme="majorHAnsi" w:hAnsiTheme="majorHAnsi"/>
          <w:sz w:val="24"/>
        </w:rPr>
      </w:pPr>
      <w:hyperlink r:id="rId8" w:history="1">
        <w:r w:rsidR="008F7D86">
          <w:rPr>
            <w:rStyle w:val="Hyperlink"/>
            <w:rFonts w:asciiTheme="majorHAnsi" w:hAnsiTheme="majorHAnsi"/>
            <w:sz w:val="24"/>
          </w:rPr>
          <w:t>MINUTES</w:t>
        </w:r>
      </w:hyperlink>
      <w:r w:rsidR="008F7D86">
        <w:rPr>
          <w:rStyle w:val="Hyperlink"/>
          <w:rFonts w:asciiTheme="majorHAnsi" w:hAnsiTheme="majorHAnsi"/>
          <w:sz w:val="24"/>
        </w:rPr>
        <w:t xml:space="preserve"> </w:t>
      </w:r>
    </w:p>
    <w:p w14:paraId="0C2845C3" w14:textId="0E38C512" w:rsidR="008F7D86" w:rsidRDefault="008F7D86" w:rsidP="008F7D86">
      <w:pPr>
        <w:pStyle w:val="Title"/>
        <w:jc w:val="left"/>
        <w:rPr>
          <w:rFonts w:asciiTheme="majorHAnsi" w:hAnsiTheme="majorHAnsi"/>
          <w:sz w:val="24"/>
        </w:rPr>
      </w:pPr>
      <w:r>
        <w:rPr>
          <w:rFonts w:asciiTheme="majorHAnsi" w:hAnsiTheme="majorHAnsi"/>
          <w:sz w:val="24"/>
        </w:rPr>
        <w:t xml:space="preserve">Attendees: Stephanie Curry, Eric Wada, Elizabeth Ramirez, Stephanie Rowe, Ty Simpson, Michelle Plug, Van Rider </w:t>
      </w:r>
    </w:p>
    <w:p w14:paraId="3E13270A" w14:textId="77777777" w:rsidR="00E410A7" w:rsidRDefault="00E410A7" w:rsidP="0080639A">
      <w:pPr>
        <w:pStyle w:val="Title"/>
        <w:rPr>
          <w:rFonts w:asciiTheme="majorHAnsi" w:hAnsiTheme="majorHAnsi"/>
          <w:sz w:val="24"/>
        </w:rPr>
      </w:pPr>
    </w:p>
    <w:p w14:paraId="13F5476E" w14:textId="03239A5A" w:rsidR="00A4282D" w:rsidRPr="0080639A" w:rsidRDefault="000E06F1" w:rsidP="008F7D86">
      <w:pPr>
        <w:pStyle w:val="Title"/>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CB8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2ECFCB6"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48A79C4C" w14:textId="4319DAB3" w:rsidR="008F7D86" w:rsidRDefault="008F7D86" w:rsidP="008F7D86">
      <w:pPr>
        <w:ind w:left="1080"/>
        <w:rPr>
          <w:rFonts w:asciiTheme="majorHAnsi" w:hAnsiTheme="majorHAnsi"/>
        </w:rPr>
      </w:pPr>
      <w:r>
        <w:rPr>
          <w:rFonts w:asciiTheme="majorHAnsi" w:hAnsiTheme="majorHAnsi"/>
        </w:rPr>
        <w:t xml:space="preserve">The meeting was called to order at 1:01pm and the agenda approved by consensus </w:t>
      </w:r>
    </w:p>
    <w:p w14:paraId="01B637BD" w14:textId="0EEC4FFB" w:rsidR="00DE318E" w:rsidRDefault="00DE318E" w:rsidP="00DE318E">
      <w:pPr>
        <w:ind w:left="360"/>
        <w:rPr>
          <w:rFonts w:asciiTheme="majorHAnsi" w:hAnsiTheme="majorHAnsi"/>
        </w:rPr>
      </w:pPr>
    </w:p>
    <w:p w14:paraId="6AE82694" w14:textId="3E40D01E" w:rsidR="00C85A85" w:rsidRPr="00C85A85" w:rsidRDefault="00C85A85" w:rsidP="00C85A85">
      <w:pPr>
        <w:numPr>
          <w:ilvl w:val="0"/>
          <w:numId w:val="7"/>
        </w:numPr>
        <w:rPr>
          <w:rFonts w:asciiTheme="majorHAnsi" w:hAnsiTheme="majorHAnsi"/>
        </w:rPr>
      </w:pPr>
      <w:r>
        <w:rPr>
          <w:rFonts w:asciiTheme="majorHAnsi" w:hAnsiTheme="majorHAnsi"/>
        </w:rPr>
        <w:t xml:space="preserve">Welcome and Introductions </w:t>
      </w:r>
    </w:p>
    <w:p w14:paraId="1B6C863C" w14:textId="11DC76B2" w:rsidR="003B4A38" w:rsidRDefault="008F7D86" w:rsidP="008F7D86">
      <w:pPr>
        <w:ind w:left="1080"/>
        <w:rPr>
          <w:rFonts w:asciiTheme="majorHAnsi" w:hAnsiTheme="majorHAnsi"/>
        </w:rPr>
      </w:pPr>
      <w:r>
        <w:rPr>
          <w:rFonts w:asciiTheme="majorHAnsi" w:hAnsiTheme="majorHAnsi"/>
        </w:rPr>
        <w:t xml:space="preserve">Committee members were welcomed by chair Stephanie Curry and Second Chair Eric Wada. Each committee member was introduced. </w:t>
      </w:r>
    </w:p>
    <w:p w14:paraId="51C25837" w14:textId="77777777" w:rsidR="008F7D86" w:rsidRPr="00B92E73" w:rsidRDefault="008F7D86" w:rsidP="008F7D86">
      <w:pPr>
        <w:ind w:left="1080"/>
        <w:rPr>
          <w:rFonts w:asciiTheme="majorHAnsi" w:hAnsiTheme="majorHAnsi"/>
        </w:rPr>
      </w:pPr>
    </w:p>
    <w:p w14:paraId="7B0C2175" w14:textId="27BF0FBF" w:rsidR="003B4A38" w:rsidRDefault="00C85A85" w:rsidP="00BB64DB">
      <w:pPr>
        <w:numPr>
          <w:ilvl w:val="0"/>
          <w:numId w:val="7"/>
        </w:numPr>
        <w:rPr>
          <w:rFonts w:asciiTheme="majorHAnsi" w:hAnsiTheme="majorHAnsi"/>
        </w:rPr>
      </w:pPr>
      <w:r>
        <w:rPr>
          <w:rFonts w:asciiTheme="majorHAnsi" w:hAnsiTheme="majorHAnsi"/>
        </w:rPr>
        <w:t xml:space="preserve">Review of Committee Charge </w:t>
      </w:r>
    </w:p>
    <w:p w14:paraId="67CBDD17" w14:textId="0734593F" w:rsidR="008F7D86" w:rsidRDefault="008F7D86" w:rsidP="008F7D86">
      <w:pPr>
        <w:ind w:left="1080"/>
        <w:rPr>
          <w:rFonts w:asciiTheme="majorHAnsi" w:hAnsiTheme="majorHAnsi"/>
        </w:rPr>
      </w:pPr>
      <w:r>
        <w:rPr>
          <w:rFonts w:asciiTheme="majorHAnsi" w:hAnsiTheme="majorHAnsi"/>
        </w:rPr>
        <w:t xml:space="preserve">The committee reviewed the charge of the TASSC Committee </w:t>
      </w:r>
    </w:p>
    <w:p w14:paraId="0312E65D" w14:textId="77777777" w:rsidR="00C85A85" w:rsidRDefault="00C85A85" w:rsidP="00C85A85">
      <w:pPr>
        <w:ind w:left="1080"/>
        <w:rPr>
          <w:rFonts w:asciiTheme="majorHAnsi" w:hAnsiTheme="majorHAnsi"/>
        </w:rPr>
      </w:pPr>
    </w:p>
    <w:p w14:paraId="241B9E01" w14:textId="528945E8" w:rsidR="00200F64" w:rsidRPr="00200F64" w:rsidRDefault="00C85A85" w:rsidP="00200F64">
      <w:pPr>
        <w:ind w:left="1080"/>
        <w:rPr>
          <w:rFonts w:asciiTheme="majorHAnsi" w:hAnsiTheme="majorHAnsi" w:cstheme="majorHAnsi"/>
          <w:color w:val="0A0A0A"/>
          <w:shd w:val="clear" w:color="auto" w:fill="FFFFFF"/>
        </w:rPr>
      </w:pPr>
      <w:r w:rsidRPr="00C85A85">
        <w:rPr>
          <w:rFonts w:asciiTheme="majorHAnsi" w:hAnsiTheme="majorHAnsi" w:cstheme="majorHAnsi"/>
          <w:color w:val="0A0A0A"/>
          <w:shd w:val="clear" w:color="auto" w:fill="FFFFFF"/>
        </w:rPr>
        <w:t>The Transfer, Articulation, and Student Services Committee is responsible for development and review of policies, procedures, administrative requirements, and general information regarding Transfer, Articulation, Counseling, Library, and services that support instruction and student success.  The committee makes recommendations to the Academic Senate Executive Committee.</w:t>
      </w:r>
    </w:p>
    <w:p w14:paraId="402DBFE1" w14:textId="3DC3648D" w:rsidR="00B07F66" w:rsidRDefault="00B07F66" w:rsidP="00C02286">
      <w:pPr>
        <w:jc w:val="both"/>
        <w:rPr>
          <w:rFonts w:asciiTheme="majorHAnsi" w:hAnsiTheme="majorHAnsi"/>
        </w:rPr>
      </w:pPr>
    </w:p>
    <w:p w14:paraId="0E1B3D61" w14:textId="7E508785" w:rsidR="009867C9" w:rsidRDefault="009867C9" w:rsidP="00412492">
      <w:pPr>
        <w:numPr>
          <w:ilvl w:val="0"/>
          <w:numId w:val="7"/>
        </w:numPr>
        <w:jc w:val="both"/>
        <w:rPr>
          <w:rFonts w:asciiTheme="majorHAnsi" w:hAnsiTheme="majorHAnsi"/>
        </w:rPr>
      </w:pPr>
      <w:r>
        <w:rPr>
          <w:rFonts w:asciiTheme="majorHAnsi" w:hAnsiTheme="majorHAnsi"/>
        </w:rPr>
        <w:t xml:space="preserve">Areas of Focus 2022-2023 (as assigned by the ASCCC President) </w:t>
      </w:r>
    </w:p>
    <w:p w14:paraId="4A8EF477" w14:textId="781F6FF9" w:rsidR="0090101A" w:rsidRDefault="008F7D86" w:rsidP="007D1F9E">
      <w:pPr>
        <w:ind w:left="1080"/>
        <w:jc w:val="both"/>
        <w:rPr>
          <w:rFonts w:asciiTheme="majorHAnsi" w:hAnsiTheme="majorHAnsi"/>
        </w:rPr>
      </w:pPr>
      <w:r>
        <w:rPr>
          <w:rFonts w:asciiTheme="majorHAnsi" w:hAnsiTheme="majorHAnsi"/>
        </w:rPr>
        <w:t xml:space="preserve">The committee members reviewed potential areas of focus for this year. </w:t>
      </w:r>
    </w:p>
    <w:p w14:paraId="7F22E374" w14:textId="3221C3C0" w:rsidR="009867C9" w:rsidRDefault="009867C9" w:rsidP="009867C9">
      <w:pPr>
        <w:numPr>
          <w:ilvl w:val="1"/>
          <w:numId w:val="7"/>
        </w:numPr>
        <w:jc w:val="both"/>
        <w:rPr>
          <w:rFonts w:asciiTheme="majorHAnsi" w:hAnsiTheme="majorHAnsi"/>
        </w:rPr>
      </w:pPr>
      <w:r w:rsidRPr="009867C9">
        <w:rPr>
          <w:rFonts w:asciiTheme="majorHAnsi" w:hAnsiTheme="majorHAnsi"/>
        </w:rPr>
        <w:t>Partner with Transfer Alignment Project</w:t>
      </w:r>
    </w:p>
    <w:p w14:paraId="68D034F5" w14:textId="58FB5548" w:rsidR="009867C9" w:rsidRDefault="009867C9" w:rsidP="009867C9">
      <w:pPr>
        <w:numPr>
          <w:ilvl w:val="1"/>
          <w:numId w:val="7"/>
        </w:numPr>
        <w:jc w:val="both"/>
        <w:rPr>
          <w:rFonts w:asciiTheme="majorHAnsi" w:hAnsiTheme="majorHAnsi"/>
        </w:rPr>
      </w:pPr>
      <w:r w:rsidRPr="009867C9">
        <w:rPr>
          <w:rFonts w:asciiTheme="majorHAnsi" w:hAnsiTheme="majorHAnsi"/>
        </w:rPr>
        <w:t>G</w:t>
      </w:r>
      <w:r>
        <w:rPr>
          <w:rFonts w:asciiTheme="majorHAnsi" w:hAnsiTheme="majorHAnsi"/>
        </w:rPr>
        <w:t xml:space="preserve">eneral </w:t>
      </w:r>
      <w:r w:rsidRPr="009867C9">
        <w:rPr>
          <w:rFonts w:asciiTheme="majorHAnsi" w:hAnsiTheme="majorHAnsi"/>
        </w:rPr>
        <w:t>E</w:t>
      </w:r>
      <w:r>
        <w:rPr>
          <w:rFonts w:asciiTheme="majorHAnsi" w:hAnsiTheme="majorHAnsi"/>
        </w:rPr>
        <w:t xml:space="preserve">ducation </w:t>
      </w:r>
    </w:p>
    <w:p w14:paraId="4D11A54A" w14:textId="2462D0AD" w:rsidR="009867C9" w:rsidRDefault="009867C9" w:rsidP="009867C9">
      <w:pPr>
        <w:numPr>
          <w:ilvl w:val="1"/>
          <w:numId w:val="7"/>
        </w:numPr>
        <w:jc w:val="both"/>
        <w:rPr>
          <w:rFonts w:asciiTheme="majorHAnsi" w:hAnsiTheme="majorHAnsi"/>
        </w:rPr>
      </w:pPr>
      <w:r>
        <w:rPr>
          <w:rFonts w:asciiTheme="majorHAnsi" w:hAnsiTheme="majorHAnsi"/>
        </w:rPr>
        <w:t>C</w:t>
      </w:r>
      <w:r w:rsidRPr="009867C9">
        <w:rPr>
          <w:rFonts w:asciiTheme="majorHAnsi" w:hAnsiTheme="majorHAnsi"/>
        </w:rPr>
        <w:t>ommon course numbering</w:t>
      </w:r>
    </w:p>
    <w:p w14:paraId="5E91A239" w14:textId="3D039255" w:rsidR="009867C9" w:rsidRDefault="009867C9" w:rsidP="009867C9">
      <w:pPr>
        <w:numPr>
          <w:ilvl w:val="1"/>
          <w:numId w:val="7"/>
        </w:numPr>
        <w:jc w:val="both"/>
        <w:rPr>
          <w:rFonts w:asciiTheme="majorHAnsi" w:hAnsiTheme="majorHAnsi"/>
        </w:rPr>
      </w:pPr>
      <w:r w:rsidRPr="009867C9">
        <w:rPr>
          <w:rFonts w:asciiTheme="majorHAnsi" w:hAnsiTheme="majorHAnsi"/>
        </w:rPr>
        <w:t>Reconsider role/utility of Guided Pathways Liaisons</w:t>
      </w:r>
    </w:p>
    <w:p w14:paraId="4D724371" w14:textId="77777777" w:rsidR="009867C9" w:rsidRDefault="009867C9" w:rsidP="009867C9">
      <w:pPr>
        <w:ind w:left="1080"/>
        <w:jc w:val="both"/>
        <w:rPr>
          <w:rFonts w:asciiTheme="majorHAnsi" w:hAnsiTheme="majorHAnsi"/>
        </w:rPr>
      </w:pPr>
    </w:p>
    <w:p w14:paraId="2414E544" w14:textId="11AC635F" w:rsidR="0090101A" w:rsidRPr="007D1F9E" w:rsidRDefault="00C85A85" w:rsidP="007D1F9E">
      <w:pPr>
        <w:numPr>
          <w:ilvl w:val="0"/>
          <w:numId w:val="7"/>
        </w:numPr>
        <w:jc w:val="both"/>
        <w:rPr>
          <w:rFonts w:asciiTheme="majorHAnsi" w:hAnsiTheme="majorHAnsi"/>
        </w:rPr>
      </w:pPr>
      <w:r>
        <w:rPr>
          <w:rFonts w:asciiTheme="majorHAnsi" w:hAnsiTheme="majorHAnsi"/>
        </w:rPr>
        <w:t xml:space="preserve">General Education Webinars </w:t>
      </w:r>
      <w:r w:rsidR="00E410A7">
        <w:rPr>
          <w:rFonts w:asciiTheme="majorHAnsi" w:hAnsiTheme="majorHAnsi"/>
        </w:rPr>
        <w:t xml:space="preserve">(Planning and </w:t>
      </w:r>
      <w:r w:rsidR="009E47A6">
        <w:rPr>
          <w:rFonts w:asciiTheme="majorHAnsi" w:hAnsiTheme="majorHAnsi"/>
        </w:rPr>
        <w:t>Participation</w:t>
      </w:r>
      <w:r w:rsidR="00E410A7">
        <w:rPr>
          <w:rFonts w:asciiTheme="majorHAnsi" w:hAnsiTheme="majorHAnsi"/>
        </w:rPr>
        <w:t xml:space="preserve">) </w:t>
      </w:r>
    </w:p>
    <w:p w14:paraId="73733E55" w14:textId="4D41A720" w:rsidR="008F7D86" w:rsidRDefault="008F7D86" w:rsidP="008F7D86">
      <w:pPr>
        <w:ind w:left="1080"/>
        <w:jc w:val="both"/>
        <w:rPr>
          <w:rFonts w:asciiTheme="majorHAnsi" w:hAnsiTheme="majorHAnsi"/>
        </w:rPr>
      </w:pPr>
      <w:r>
        <w:rPr>
          <w:rFonts w:asciiTheme="majorHAnsi" w:hAnsiTheme="majorHAnsi"/>
        </w:rPr>
        <w:t xml:space="preserve">Committee members reviewed the upcoming general education webinars. Committee members may be asked to support webinars. The webinars are a partnership between the TASSC committee and the Curriculum Committee. Stephanie will contact members about supporting the webinars. </w:t>
      </w:r>
    </w:p>
    <w:p w14:paraId="060DADCA" w14:textId="77777777" w:rsidR="00C85A85" w:rsidRDefault="00C85A85" w:rsidP="00C85A85">
      <w:pPr>
        <w:ind w:left="1080"/>
        <w:jc w:val="both"/>
        <w:rPr>
          <w:rFonts w:asciiTheme="majorHAnsi" w:hAnsiTheme="majorHAnsi"/>
        </w:rPr>
      </w:pPr>
    </w:p>
    <w:p w14:paraId="10EF434F" w14:textId="7AF359B5" w:rsidR="00C85A85" w:rsidRPr="00C85A85" w:rsidRDefault="00C85A85" w:rsidP="00C85A85">
      <w:pPr>
        <w:rPr>
          <w:rFonts w:asciiTheme="majorHAnsi" w:hAnsiTheme="majorHAnsi" w:cstheme="majorHAnsi"/>
        </w:rPr>
      </w:pPr>
      <w:r w:rsidRPr="00C85A85">
        <w:rPr>
          <w:rFonts w:asciiTheme="majorHAnsi" w:hAnsiTheme="majorHAnsi" w:cstheme="majorHAnsi"/>
          <w:b/>
        </w:rPr>
        <w:t xml:space="preserve">General Webinar Series Description </w:t>
      </w:r>
    </w:p>
    <w:p w14:paraId="6AB5DE6C" w14:textId="691798DE" w:rsidR="009867C9" w:rsidRDefault="00C85A85" w:rsidP="00C85A85">
      <w:pPr>
        <w:rPr>
          <w:rFonts w:asciiTheme="majorHAnsi" w:hAnsiTheme="majorHAnsi" w:cstheme="majorHAnsi"/>
          <w:color w:val="000000"/>
        </w:rPr>
      </w:pPr>
      <w:r w:rsidRPr="00C85A85">
        <w:rPr>
          <w:rFonts w:asciiTheme="majorHAnsi" w:hAnsiTheme="majorHAnsi" w:cstheme="majorHAnsi"/>
          <w:color w:val="000000"/>
        </w:rPr>
        <w:t>The Academic Senate for California Community Colleges (ASCCC) Curriculum Committee and Transfer, Articulation, and Student Services Committee (TASSC) are offering webinars throughout the fall to help faculty with understanding new legislation and curriculum impact and the role of faculty and Articulation Officers. We're covering the basics of Assembly Bill 928, California General Education Transfer Curriculum (</w:t>
      </w:r>
      <w:proofErr w:type="spellStart"/>
      <w:r w:rsidRPr="00C85A85">
        <w:rPr>
          <w:rFonts w:asciiTheme="majorHAnsi" w:hAnsiTheme="majorHAnsi" w:cstheme="majorHAnsi"/>
          <w:color w:val="000000"/>
        </w:rPr>
        <w:t>CalGETC</w:t>
      </w:r>
      <w:proofErr w:type="spellEnd"/>
      <w:r w:rsidRPr="00C85A85">
        <w:rPr>
          <w:rFonts w:asciiTheme="majorHAnsi" w:hAnsiTheme="majorHAnsi" w:cstheme="majorHAnsi"/>
          <w:color w:val="000000"/>
        </w:rPr>
        <w:t>) impact, faculty role regarding transfer general education, and many more. We look forward to working with you soon! </w:t>
      </w:r>
    </w:p>
    <w:p w14:paraId="49506EC4" w14:textId="77777777" w:rsidR="007D1F9E" w:rsidRPr="00C85A85" w:rsidRDefault="007D1F9E" w:rsidP="00C85A85">
      <w:pPr>
        <w:rPr>
          <w:rFonts w:asciiTheme="majorHAnsi" w:hAnsiTheme="majorHAnsi" w:cstheme="majorHAnsi"/>
          <w:color w:val="000000"/>
        </w:rPr>
      </w:pPr>
      <w:bookmarkStart w:id="0" w:name="_GoBack"/>
      <w:bookmarkEnd w:id="0"/>
    </w:p>
    <w:tbl>
      <w:tblPr>
        <w:tblStyle w:val="TableGrid"/>
        <w:tblW w:w="10800" w:type="dxa"/>
        <w:tblInd w:w="-455" w:type="dxa"/>
        <w:tblLook w:val="04A0" w:firstRow="1" w:lastRow="0" w:firstColumn="1" w:lastColumn="0" w:noHBand="0" w:noVBand="1"/>
      </w:tblPr>
      <w:tblGrid>
        <w:gridCol w:w="4140"/>
        <w:gridCol w:w="6660"/>
      </w:tblGrid>
      <w:tr w:rsidR="00C85A85" w:rsidRPr="00C85A85" w14:paraId="41F30D89" w14:textId="77777777" w:rsidTr="00E410A7">
        <w:tc>
          <w:tcPr>
            <w:tcW w:w="4140" w:type="dxa"/>
          </w:tcPr>
          <w:p w14:paraId="0505CA70" w14:textId="77777777" w:rsidR="00C85A85" w:rsidRPr="00C85A85" w:rsidRDefault="00C85A85" w:rsidP="00C4044B">
            <w:pPr>
              <w:rPr>
                <w:rFonts w:asciiTheme="majorHAnsi" w:eastAsia="Times New Roman" w:hAnsiTheme="majorHAnsi" w:cstheme="majorHAnsi"/>
                <w:color w:val="000000"/>
              </w:rPr>
            </w:pPr>
            <w:bookmarkStart w:id="1" w:name="_Hlk111722495"/>
            <w:r w:rsidRPr="00C85A85">
              <w:rPr>
                <w:rFonts w:asciiTheme="majorHAnsi" w:eastAsia="Times New Roman" w:hAnsiTheme="majorHAnsi" w:cstheme="majorHAnsi"/>
                <w:color w:val="000000"/>
              </w:rPr>
              <w:lastRenderedPageBreak/>
              <w:t xml:space="preserve"> Monday, Sept 12, 2022 (9-10:30am)</w:t>
            </w:r>
          </w:p>
        </w:tc>
        <w:tc>
          <w:tcPr>
            <w:tcW w:w="6660" w:type="dxa"/>
          </w:tcPr>
          <w:p w14:paraId="4A33D805" w14:textId="77777777" w:rsidR="00C85A85" w:rsidRPr="00C85A85" w:rsidRDefault="00C85A85" w:rsidP="00C4044B">
            <w:pPr>
              <w:rPr>
                <w:rFonts w:asciiTheme="majorHAnsi" w:hAnsiTheme="majorHAnsi" w:cstheme="majorHAnsi"/>
                <w:color w:val="000000"/>
              </w:rPr>
            </w:pPr>
            <w:r w:rsidRPr="00C85A85">
              <w:rPr>
                <w:rFonts w:asciiTheme="majorHAnsi" w:eastAsia="Times New Roman" w:hAnsiTheme="majorHAnsi" w:cstheme="majorHAnsi"/>
                <w:color w:val="000000"/>
              </w:rPr>
              <w:t>General Education Requirements of the Associate Degree, Baccalaureate Degree, and Associate Degree for Transfer</w:t>
            </w:r>
          </w:p>
        </w:tc>
      </w:tr>
      <w:tr w:rsidR="00C85A85" w:rsidRPr="00C85A85" w14:paraId="3DCA98BB" w14:textId="77777777" w:rsidTr="00E410A7">
        <w:trPr>
          <w:trHeight w:val="728"/>
        </w:trPr>
        <w:tc>
          <w:tcPr>
            <w:tcW w:w="4140" w:type="dxa"/>
          </w:tcPr>
          <w:p w14:paraId="245B12D1"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 xml:space="preserve">Tuesday, Sept 13 (3-4:30pm) </w:t>
            </w:r>
          </w:p>
        </w:tc>
        <w:tc>
          <w:tcPr>
            <w:tcW w:w="6660" w:type="dxa"/>
          </w:tcPr>
          <w:p w14:paraId="54EDB1CB"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General Education Requirements of the Associate Degree, Baccalaureate Degree, and Associate Degree for Transfer</w:t>
            </w:r>
          </w:p>
        </w:tc>
      </w:tr>
      <w:bookmarkEnd w:id="1"/>
      <w:tr w:rsidR="00C85A85" w:rsidRPr="00C85A85" w14:paraId="35BAF928" w14:textId="77777777" w:rsidTr="00E410A7">
        <w:tc>
          <w:tcPr>
            <w:tcW w:w="4140" w:type="dxa"/>
          </w:tcPr>
          <w:p w14:paraId="20520B90"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 xml:space="preserve">Tuesday, Sept 27 (12-1:30pm) </w:t>
            </w:r>
          </w:p>
        </w:tc>
        <w:tc>
          <w:tcPr>
            <w:tcW w:w="6660" w:type="dxa"/>
          </w:tcPr>
          <w:p w14:paraId="06924DAF"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Role of local Academic Senates and Curriculum Committees in regard to general education </w:t>
            </w:r>
          </w:p>
        </w:tc>
      </w:tr>
      <w:tr w:rsidR="00C85A85" w:rsidRPr="00C85A85" w14:paraId="6848C58F" w14:textId="77777777" w:rsidTr="00E410A7">
        <w:tc>
          <w:tcPr>
            <w:tcW w:w="4140" w:type="dxa"/>
          </w:tcPr>
          <w:p w14:paraId="60F5516A"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 xml:space="preserve">Wednesday, Sept 28 (2-3:30pm) </w:t>
            </w:r>
          </w:p>
        </w:tc>
        <w:tc>
          <w:tcPr>
            <w:tcW w:w="6660" w:type="dxa"/>
          </w:tcPr>
          <w:p w14:paraId="3E414033" w14:textId="4D42C209" w:rsidR="00E410A7"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Role of Articulation in Transfer in regard to general education </w:t>
            </w:r>
          </w:p>
        </w:tc>
      </w:tr>
      <w:tr w:rsidR="00C85A85" w:rsidRPr="00C85A85" w14:paraId="406A76E7" w14:textId="77777777" w:rsidTr="00E410A7">
        <w:tc>
          <w:tcPr>
            <w:tcW w:w="4140" w:type="dxa"/>
          </w:tcPr>
          <w:p w14:paraId="4ACFE168"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 xml:space="preserve">Monday Oct 3, 2022 (9-10:30am) </w:t>
            </w:r>
          </w:p>
        </w:tc>
        <w:tc>
          <w:tcPr>
            <w:tcW w:w="6660" w:type="dxa"/>
          </w:tcPr>
          <w:p w14:paraId="2407202F"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 xml:space="preserve">Addressing the impact of </w:t>
            </w:r>
            <w:proofErr w:type="spellStart"/>
            <w:r w:rsidRPr="00C85A85">
              <w:rPr>
                <w:rFonts w:asciiTheme="majorHAnsi" w:eastAsia="Times New Roman" w:hAnsiTheme="majorHAnsi" w:cstheme="majorHAnsi"/>
                <w:color w:val="000000"/>
              </w:rPr>
              <w:t>CalGETC</w:t>
            </w:r>
            <w:proofErr w:type="spellEnd"/>
            <w:r w:rsidRPr="00C85A85">
              <w:rPr>
                <w:rFonts w:asciiTheme="majorHAnsi" w:eastAsia="Times New Roman" w:hAnsiTheme="majorHAnsi" w:cstheme="majorHAnsi"/>
                <w:color w:val="000000"/>
              </w:rPr>
              <w:t xml:space="preserve">, as proposed on local colleges, programs and course and students </w:t>
            </w:r>
          </w:p>
        </w:tc>
      </w:tr>
      <w:tr w:rsidR="00C85A85" w:rsidRPr="00C85A85" w14:paraId="6C380E40" w14:textId="77777777" w:rsidTr="00E410A7">
        <w:tc>
          <w:tcPr>
            <w:tcW w:w="4140" w:type="dxa"/>
          </w:tcPr>
          <w:p w14:paraId="4F604EDD"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 xml:space="preserve">Thursday Oct 6, 2022 (2-3:30) </w:t>
            </w:r>
          </w:p>
        </w:tc>
        <w:tc>
          <w:tcPr>
            <w:tcW w:w="6660" w:type="dxa"/>
          </w:tcPr>
          <w:p w14:paraId="3CBE510C" w14:textId="77777777" w:rsidR="00C85A85" w:rsidRPr="00C85A85" w:rsidRDefault="00C85A85" w:rsidP="00C4044B">
            <w:pPr>
              <w:spacing w:before="100" w:beforeAutospacing="1" w:after="100" w:afterAutospacing="1"/>
              <w:rPr>
                <w:rFonts w:asciiTheme="majorHAnsi" w:eastAsia="Times New Roman" w:hAnsiTheme="majorHAnsi" w:cstheme="majorHAnsi"/>
                <w:color w:val="000000"/>
              </w:rPr>
            </w:pPr>
            <w:r w:rsidRPr="00C85A85">
              <w:rPr>
                <w:rFonts w:asciiTheme="majorHAnsi" w:eastAsia="Times New Roman" w:hAnsiTheme="majorHAnsi" w:cstheme="majorHAnsi"/>
                <w:color w:val="000000"/>
              </w:rPr>
              <w:t xml:space="preserve">Addressing the impact of </w:t>
            </w:r>
            <w:proofErr w:type="spellStart"/>
            <w:r w:rsidRPr="00C85A85">
              <w:rPr>
                <w:rFonts w:asciiTheme="majorHAnsi" w:eastAsia="Times New Roman" w:hAnsiTheme="majorHAnsi" w:cstheme="majorHAnsi"/>
                <w:color w:val="000000"/>
              </w:rPr>
              <w:t>CalGETC</w:t>
            </w:r>
            <w:proofErr w:type="spellEnd"/>
            <w:r w:rsidRPr="00C85A85">
              <w:rPr>
                <w:rFonts w:asciiTheme="majorHAnsi" w:eastAsia="Times New Roman" w:hAnsiTheme="majorHAnsi" w:cstheme="majorHAnsi"/>
                <w:color w:val="000000"/>
              </w:rPr>
              <w:t>, as proposed on local colleges, programs, courses and students</w:t>
            </w:r>
          </w:p>
        </w:tc>
      </w:tr>
    </w:tbl>
    <w:p w14:paraId="5733FA76" w14:textId="77777777" w:rsidR="00C85A85" w:rsidRPr="00C85A85" w:rsidRDefault="00C85A85" w:rsidP="00C85A85">
      <w:pPr>
        <w:ind w:left="1080"/>
        <w:jc w:val="both"/>
        <w:rPr>
          <w:rFonts w:asciiTheme="majorHAnsi" w:hAnsiTheme="majorHAnsi" w:cstheme="majorHAnsi"/>
        </w:rPr>
      </w:pPr>
    </w:p>
    <w:p w14:paraId="33A991CC" w14:textId="77777777" w:rsidR="00B60F72" w:rsidRDefault="00B60F72" w:rsidP="00BA6046">
      <w:pPr>
        <w:ind w:left="1080"/>
        <w:jc w:val="both"/>
        <w:rPr>
          <w:rFonts w:asciiTheme="majorHAnsi" w:hAnsiTheme="majorHAnsi"/>
        </w:rPr>
      </w:pPr>
    </w:p>
    <w:p w14:paraId="356205A1" w14:textId="6AB54333" w:rsidR="00BA6046" w:rsidRDefault="00C85A85" w:rsidP="00412492">
      <w:pPr>
        <w:numPr>
          <w:ilvl w:val="0"/>
          <w:numId w:val="7"/>
        </w:numPr>
        <w:jc w:val="both"/>
        <w:rPr>
          <w:rFonts w:asciiTheme="majorHAnsi" w:hAnsiTheme="majorHAnsi"/>
        </w:rPr>
      </w:pPr>
      <w:r>
        <w:rPr>
          <w:rFonts w:asciiTheme="majorHAnsi" w:hAnsiTheme="majorHAnsi"/>
        </w:rPr>
        <w:t xml:space="preserve">Assigned Resolutions </w:t>
      </w:r>
      <w:r w:rsidR="00BA6046">
        <w:rPr>
          <w:rFonts w:asciiTheme="majorHAnsi" w:hAnsiTheme="majorHAnsi"/>
        </w:rPr>
        <w:t xml:space="preserve"> </w:t>
      </w:r>
    </w:p>
    <w:p w14:paraId="30E65209" w14:textId="153820BA" w:rsidR="008F7D86" w:rsidRDefault="008F7D86" w:rsidP="008F7D86">
      <w:pPr>
        <w:ind w:left="1080"/>
        <w:jc w:val="both"/>
        <w:rPr>
          <w:rFonts w:asciiTheme="majorHAnsi" w:hAnsiTheme="majorHAnsi"/>
        </w:rPr>
      </w:pPr>
      <w:r>
        <w:rPr>
          <w:rFonts w:asciiTheme="majorHAnsi" w:hAnsiTheme="majorHAnsi"/>
        </w:rPr>
        <w:t xml:space="preserve">Committee members reviewed assigned resolutions 3.03 on mental health and trauma informed teaching </w:t>
      </w:r>
      <w:r w:rsidR="0090101A">
        <w:rPr>
          <w:rFonts w:asciiTheme="majorHAnsi" w:hAnsiTheme="majorHAnsi"/>
        </w:rPr>
        <w:t xml:space="preserve">which </w:t>
      </w:r>
      <w:r>
        <w:rPr>
          <w:rFonts w:asciiTheme="majorHAnsi" w:hAnsiTheme="majorHAnsi"/>
        </w:rPr>
        <w:t>might be the topic for the academic academy in spring 2023</w:t>
      </w:r>
      <w:r w:rsidR="0090101A">
        <w:rPr>
          <w:rFonts w:asciiTheme="majorHAnsi" w:hAnsiTheme="majorHAnsi"/>
        </w:rPr>
        <w:t xml:space="preserve"> and</w:t>
      </w:r>
      <w:r>
        <w:rPr>
          <w:rFonts w:asciiTheme="majorHAnsi" w:hAnsiTheme="majorHAnsi"/>
        </w:rPr>
        <w:t xml:space="preserve"> 9.01</w:t>
      </w:r>
      <w:r w:rsidR="0090101A">
        <w:rPr>
          <w:rFonts w:asciiTheme="majorHAnsi" w:hAnsiTheme="majorHAnsi"/>
        </w:rPr>
        <w:t xml:space="preserve"> where</w:t>
      </w:r>
      <w:r>
        <w:rPr>
          <w:rFonts w:asciiTheme="majorHAnsi" w:hAnsiTheme="majorHAnsi"/>
        </w:rPr>
        <w:t xml:space="preserve"> the committee is waiting on results from the CCCCO Ethnic Studies Task Force. </w:t>
      </w:r>
    </w:p>
    <w:p w14:paraId="45D12BDA" w14:textId="77777777" w:rsidR="008F7D86" w:rsidRDefault="008F7D86" w:rsidP="008F7D86">
      <w:pPr>
        <w:ind w:left="1080"/>
        <w:jc w:val="both"/>
        <w:rPr>
          <w:rFonts w:asciiTheme="majorHAnsi" w:hAnsiTheme="majorHAnsi"/>
        </w:rPr>
      </w:pPr>
    </w:p>
    <w:p w14:paraId="0F74AB06" w14:textId="7561C68B" w:rsidR="001759D9" w:rsidRDefault="001759D9" w:rsidP="001759D9">
      <w:pPr>
        <w:ind w:left="1080"/>
        <w:jc w:val="both"/>
        <w:rPr>
          <w:rFonts w:asciiTheme="majorHAnsi" w:hAnsiTheme="majorHAnsi"/>
        </w:rPr>
      </w:pPr>
      <w:r>
        <w:rPr>
          <w:rFonts w:asciiTheme="majorHAnsi" w:hAnsiTheme="majorHAnsi"/>
        </w:rPr>
        <w:t xml:space="preserve">3.03 F21 </w:t>
      </w:r>
      <w:hyperlink r:id="rId9" w:history="1">
        <w:r w:rsidRPr="00B60F72">
          <w:rPr>
            <w:rStyle w:val="Hyperlink"/>
            <w:rFonts w:asciiTheme="majorHAnsi" w:hAnsiTheme="majorHAnsi"/>
          </w:rPr>
          <w:t>Support for Mental Health Awareness and Trauma Informed Teaching and Learning</w:t>
        </w:r>
      </w:hyperlink>
    </w:p>
    <w:p w14:paraId="792E87AF" w14:textId="027AA38D" w:rsidR="00BA6046" w:rsidRDefault="001759D9" w:rsidP="00B60F72">
      <w:pPr>
        <w:pStyle w:val="ListParagraph"/>
        <w:ind w:left="1080" w:firstLine="24"/>
        <w:rPr>
          <w:rFonts w:asciiTheme="majorHAnsi" w:hAnsiTheme="majorHAnsi"/>
        </w:rPr>
      </w:pPr>
      <w:r>
        <w:rPr>
          <w:rFonts w:asciiTheme="majorHAnsi" w:hAnsiTheme="majorHAnsi"/>
        </w:rPr>
        <w:t>9.01 S</w:t>
      </w:r>
      <w:r w:rsidR="00B60F72">
        <w:rPr>
          <w:rFonts w:asciiTheme="majorHAnsi" w:hAnsiTheme="majorHAnsi"/>
        </w:rPr>
        <w:t xml:space="preserve">21 </w:t>
      </w:r>
      <w:hyperlink r:id="rId10" w:history="1">
        <w:r w:rsidR="00B60F72" w:rsidRPr="00B60F72">
          <w:rPr>
            <w:rStyle w:val="Hyperlink"/>
            <w:rFonts w:asciiTheme="majorHAnsi" w:hAnsiTheme="majorHAnsi"/>
          </w:rPr>
          <w:t>Develop a Set of Resources to Assist in Establishing Ethnic Studies Programs in Alignment with California State University Requirements</w:t>
        </w:r>
      </w:hyperlink>
    </w:p>
    <w:p w14:paraId="396613B6" w14:textId="77777777" w:rsidR="00B60F72" w:rsidRPr="00B60F72" w:rsidRDefault="00B60F72" w:rsidP="00B60F72">
      <w:pPr>
        <w:pStyle w:val="ListParagraph"/>
        <w:ind w:left="1080" w:firstLine="24"/>
        <w:rPr>
          <w:rFonts w:asciiTheme="majorHAnsi" w:hAnsiTheme="majorHAnsi"/>
        </w:rPr>
      </w:pPr>
    </w:p>
    <w:p w14:paraId="1AC45EDC" w14:textId="33FB9DFF" w:rsidR="00B60F72" w:rsidRDefault="001759D9" w:rsidP="00200F64">
      <w:pPr>
        <w:numPr>
          <w:ilvl w:val="0"/>
          <w:numId w:val="7"/>
        </w:numPr>
        <w:jc w:val="both"/>
        <w:rPr>
          <w:rFonts w:asciiTheme="majorHAnsi" w:hAnsiTheme="majorHAnsi"/>
        </w:rPr>
      </w:pPr>
      <w:r>
        <w:rPr>
          <w:rFonts w:asciiTheme="majorHAnsi" w:hAnsiTheme="majorHAnsi"/>
        </w:rPr>
        <w:t xml:space="preserve">Resolutions Fall 2022 </w:t>
      </w:r>
    </w:p>
    <w:p w14:paraId="56E91521" w14:textId="77777777" w:rsidR="00200F64" w:rsidRPr="00200F64" w:rsidRDefault="00200F64" w:rsidP="00200F64">
      <w:pPr>
        <w:ind w:left="1080"/>
        <w:jc w:val="both"/>
        <w:rPr>
          <w:rFonts w:asciiTheme="majorHAnsi" w:hAnsiTheme="majorHAnsi"/>
        </w:rPr>
      </w:pPr>
    </w:p>
    <w:p w14:paraId="14803298" w14:textId="01D8B8B3" w:rsidR="001759D9" w:rsidRDefault="001759D9" w:rsidP="001759D9">
      <w:pPr>
        <w:numPr>
          <w:ilvl w:val="1"/>
          <w:numId w:val="7"/>
        </w:numPr>
        <w:jc w:val="both"/>
        <w:rPr>
          <w:rFonts w:asciiTheme="majorHAnsi" w:hAnsiTheme="majorHAnsi"/>
        </w:rPr>
      </w:pPr>
      <w:r>
        <w:rPr>
          <w:rFonts w:asciiTheme="majorHAnsi" w:hAnsiTheme="majorHAnsi"/>
        </w:rPr>
        <w:t xml:space="preserve">General Education Paper </w:t>
      </w:r>
    </w:p>
    <w:p w14:paraId="723265C5" w14:textId="77777777" w:rsidR="008126A3" w:rsidRDefault="008126A3" w:rsidP="008126A3">
      <w:pPr>
        <w:ind w:left="1440"/>
        <w:jc w:val="both"/>
        <w:rPr>
          <w:rFonts w:asciiTheme="majorHAnsi" w:hAnsiTheme="majorHAnsi"/>
        </w:rPr>
      </w:pPr>
    </w:p>
    <w:p w14:paraId="104A1107" w14:textId="0571CAB1" w:rsidR="008F7D86" w:rsidRDefault="008F7D86" w:rsidP="008F7D86">
      <w:pPr>
        <w:ind w:left="1080"/>
        <w:jc w:val="both"/>
        <w:rPr>
          <w:rFonts w:asciiTheme="majorHAnsi" w:hAnsiTheme="majorHAnsi"/>
        </w:rPr>
      </w:pPr>
      <w:r>
        <w:rPr>
          <w:rFonts w:asciiTheme="majorHAnsi" w:hAnsiTheme="majorHAnsi"/>
        </w:rPr>
        <w:t xml:space="preserve">In a review of </w:t>
      </w:r>
      <w:r w:rsidR="0090101A">
        <w:rPr>
          <w:rFonts w:asciiTheme="majorHAnsi" w:hAnsiTheme="majorHAnsi"/>
        </w:rPr>
        <w:t xml:space="preserve">ASCCC </w:t>
      </w:r>
      <w:r>
        <w:rPr>
          <w:rFonts w:asciiTheme="majorHAnsi" w:hAnsiTheme="majorHAnsi"/>
        </w:rPr>
        <w:t xml:space="preserve">General Education Resources </w:t>
      </w:r>
      <w:r w:rsidR="008126A3">
        <w:rPr>
          <w:rFonts w:asciiTheme="majorHAnsi" w:hAnsiTheme="majorHAnsi"/>
        </w:rPr>
        <w:t xml:space="preserve">the committee is recommending a resolution for a paper on General Education to support the recent changes in General Education.  Stephanie will draft a resolution and send it out to the committee for review. </w:t>
      </w:r>
    </w:p>
    <w:p w14:paraId="0BBA36E5" w14:textId="77777777" w:rsidR="008126A3" w:rsidRDefault="008126A3" w:rsidP="008F7D86">
      <w:pPr>
        <w:ind w:left="1080"/>
        <w:jc w:val="both"/>
        <w:rPr>
          <w:rFonts w:asciiTheme="majorHAnsi" w:hAnsiTheme="majorHAnsi"/>
        </w:rPr>
      </w:pPr>
    </w:p>
    <w:p w14:paraId="0BA63EA0" w14:textId="1BAD12E5" w:rsidR="001759D9" w:rsidRDefault="001759D9" w:rsidP="001759D9">
      <w:pPr>
        <w:numPr>
          <w:ilvl w:val="1"/>
          <w:numId w:val="7"/>
        </w:numPr>
        <w:jc w:val="both"/>
        <w:rPr>
          <w:rFonts w:asciiTheme="majorHAnsi" w:hAnsiTheme="majorHAnsi"/>
        </w:rPr>
      </w:pPr>
      <w:r>
        <w:rPr>
          <w:rFonts w:asciiTheme="majorHAnsi" w:hAnsiTheme="majorHAnsi"/>
        </w:rPr>
        <w:t xml:space="preserve">Brainstorming </w:t>
      </w:r>
    </w:p>
    <w:p w14:paraId="59BA94A9" w14:textId="293ABEDC" w:rsidR="008126A3" w:rsidRDefault="008126A3" w:rsidP="008126A3">
      <w:pPr>
        <w:ind w:left="1080"/>
        <w:jc w:val="both"/>
        <w:rPr>
          <w:rFonts w:asciiTheme="majorHAnsi" w:hAnsiTheme="majorHAnsi"/>
        </w:rPr>
      </w:pPr>
      <w:r>
        <w:rPr>
          <w:rFonts w:asciiTheme="majorHAnsi" w:hAnsiTheme="majorHAnsi"/>
        </w:rPr>
        <w:t xml:space="preserve">The committee was asked about any potential future resolutions are areas of concern. </w:t>
      </w:r>
    </w:p>
    <w:p w14:paraId="4DB8B9CA" w14:textId="77777777" w:rsidR="008126A3" w:rsidRDefault="008126A3" w:rsidP="008126A3">
      <w:pPr>
        <w:ind w:left="1080"/>
        <w:jc w:val="both"/>
        <w:rPr>
          <w:rFonts w:asciiTheme="majorHAnsi" w:hAnsiTheme="majorHAnsi"/>
        </w:rPr>
      </w:pPr>
    </w:p>
    <w:p w14:paraId="7EA787C9" w14:textId="41B9ACF1" w:rsidR="008F7D86" w:rsidRPr="008F7D86" w:rsidRDefault="008F7D86" w:rsidP="008126A3">
      <w:pPr>
        <w:pStyle w:val="ListParagraph"/>
        <w:numPr>
          <w:ilvl w:val="0"/>
          <w:numId w:val="19"/>
        </w:numPr>
        <w:ind w:left="1440"/>
        <w:jc w:val="both"/>
        <w:rPr>
          <w:rFonts w:asciiTheme="majorHAnsi" w:hAnsiTheme="majorHAnsi"/>
        </w:rPr>
      </w:pPr>
      <w:r w:rsidRPr="008F7D86">
        <w:rPr>
          <w:rFonts w:asciiTheme="majorHAnsi" w:hAnsiTheme="majorHAnsi"/>
        </w:rPr>
        <w:t xml:space="preserve">Role of the Counselor in Guided Pathways- Concern over advisors blurring lines of </w:t>
      </w:r>
      <w:r w:rsidR="008126A3">
        <w:rPr>
          <w:rFonts w:asciiTheme="majorHAnsi" w:hAnsiTheme="majorHAnsi"/>
        </w:rPr>
        <w:t xml:space="preserve">role of counseling. ---may already be a resolution. May need a rostrum article to highlight resolution. </w:t>
      </w:r>
    </w:p>
    <w:p w14:paraId="7C111670" w14:textId="31E60028" w:rsidR="008F7D86" w:rsidRPr="008F7D86" w:rsidRDefault="008F7D86" w:rsidP="008126A3">
      <w:pPr>
        <w:pStyle w:val="ListParagraph"/>
        <w:numPr>
          <w:ilvl w:val="0"/>
          <w:numId w:val="19"/>
        </w:numPr>
        <w:ind w:left="1440"/>
        <w:jc w:val="both"/>
        <w:rPr>
          <w:rFonts w:asciiTheme="majorHAnsi" w:hAnsiTheme="majorHAnsi"/>
        </w:rPr>
      </w:pPr>
      <w:r w:rsidRPr="008F7D86">
        <w:rPr>
          <w:rFonts w:asciiTheme="majorHAnsi" w:hAnsiTheme="majorHAnsi"/>
        </w:rPr>
        <w:t>New GE pattern for BA</w:t>
      </w:r>
      <w:r w:rsidR="00907A40">
        <w:rPr>
          <w:rFonts w:asciiTheme="majorHAnsi" w:hAnsiTheme="majorHAnsi"/>
        </w:rPr>
        <w:t>/BS</w:t>
      </w:r>
      <w:r w:rsidRPr="008F7D86">
        <w:rPr>
          <w:rFonts w:asciiTheme="majorHAnsi" w:hAnsiTheme="majorHAnsi"/>
        </w:rPr>
        <w:t xml:space="preserve"> degrees. </w:t>
      </w:r>
      <w:r w:rsidR="008126A3">
        <w:rPr>
          <w:rFonts w:asciiTheme="majorHAnsi" w:hAnsiTheme="majorHAnsi"/>
        </w:rPr>
        <w:t xml:space="preserve"> Reviewing resolution from Spring. This has been assigned to 5C. </w:t>
      </w:r>
    </w:p>
    <w:p w14:paraId="13338604" w14:textId="0B76908E" w:rsidR="00C02286" w:rsidRDefault="008F7D86" w:rsidP="008126A3">
      <w:pPr>
        <w:pStyle w:val="ListParagraph"/>
        <w:numPr>
          <w:ilvl w:val="0"/>
          <w:numId w:val="19"/>
        </w:numPr>
        <w:ind w:left="1440"/>
        <w:jc w:val="both"/>
        <w:rPr>
          <w:rFonts w:asciiTheme="majorHAnsi" w:hAnsiTheme="majorHAnsi"/>
        </w:rPr>
      </w:pPr>
      <w:r w:rsidRPr="008126A3">
        <w:rPr>
          <w:rFonts w:asciiTheme="majorHAnsi" w:hAnsiTheme="majorHAnsi"/>
        </w:rPr>
        <w:t>AB 1111 /AB 928</w:t>
      </w:r>
      <w:r w:rsidR="008126A3" w:rsidRPr="008126A3">
        <w:rPr>
          <w:rFonts w:asciiTheme="majorHAnsi" w:hAnsiTheme="majorHAnsi"/>
        </w:rPr>
        <w:t xml:space="preserve"> workload concerns perhaps p</w:t>
      </w:r>
      <w:r w:rsidRPr="008126A3">
        <w:rPr>
          <w:rFonts w:asciiTheme="majorHAnsi" w:hAnsiTheme="majorHAnsi"/>
        </w:rPr>
        <w:t>artnership with FACCC</w:t>
      </w:r>
      <w:r w:rsidR="008126A3" w:rsidRPr="008126A3">
        <w:rPr>
          <w:rFonts w:asciiTheme="majorHAnsi" w:hAnsiTheme="majorHAnsi"/>
        </w:rPr>
        <w:t xml:space="preserve"> for discussion</w:t>
      </w:r>
      <w:r w:rsidR="0090101A">
        <w:rPr>
          <w:rFonts w:asciiTheme="majorHAnsi" w:hAnsiTheme="majorHAnsi"/>
        </w:rPr>
        <w:t xml:space="preserve">s. </w:t>
      </w:r>
      <w:r w:rsidR="008126A3" w:rsidRPr="008126A3">
        <w:rPr>
          <w:rFonts w:asciiTheme="majorHAnsi" w:hAnsiTheme="majorHAnsi"/>
        </w:rPr>
        <w:t xml:space="preserve"> </w:t>
      </w:r>
    </w:p>
    <w:p w14:paraId="5089557A" w14:textId="77777777" w:rsidR="008126A3" w:rsidRPr="008126A3" w:rsidRDefault="008126A3" w:rsidP="008126A3">
      <w:pPr>
        <w:pStyle w:val="ListParagraph"/>
        <w:ind w:left="1800"/>
        <w:jc w:val="both"/>
        <w:rPr>
          <w:rFonts w:asciiTheme="majorHAnsi" w:hAnsiTheme="majorHAnsi"/>
        </w:rPr>
      </w:pPr>
    </w:p>
    <w:p w14:paraId="670A7FF8" w14:textId="2E4C168C" w:rsidR="00BC6A8D" w:rsidRDefault="00BC6A8D" w:rsidP="00412492">
      <w:pPr>
        <w:numPr>
          <w:ilvl w:val="0"/>
          <w:numId w:val="7"/>
        </w:numPr>
        <w:jc w:val="both"/>
        <w:rPr>
          <w:rFonts w:asciiTheme="majorHAnsi" w:hAnsiTheme="majorHAnsi"/>
        </w:rPr>
      </w:pPr>
      <w:r>
        <w:rPr>
          <w:rFonts w:asciiTheme="majorHAnsi" w:hAnsiTheme="majorHAnsi"/>
        </w:rPr>
        <w:t xml:space="preserve">Future Meetings </w:t>
      </w:r>
    </w:p>
    <w:p w14:paraId="3809C00B" w14:textId="69192EE6" w:rsidR="00E739DA" w:rsidRDefault="00E739DA" w:rsidP="00E739DA">
      <w:pPr>
        <w:jc w:val="both"/>
        <w:rPr>
          <w:rFonts w:asciiTheme="majorHAnsi" w:hAnsiTheme="majorHAnsi"/>
        </w:rPr>
      </w:pPr>
    </w:p>
    <w:p w14:paraId="062923A5" w14:textId="01792CF0" w:rsidR="00E739DA" w:rsidRPr="00F720A3" w:rsidRDefault="00E739DA" w:rsidP="008126A3">
      <w:pPr>
        <w:ind w:firstLine="720"/>
        <w:jc w:val="both"/>
        <w:rPr>
          <w:rFonts w:asciiTheme="majorHAnsi" w:hAnsiTheme="majorHAnsi"/>
        </w:rPr>
      </w:pPr>
      <w:r>
        <w:rPr>
          <w:rFonts w:asciiTheme="majorHAnsi" w:hAnsiTheme="majorHAnsi"/>
        </w:rPr>
        <w:t xml:space="preserve">Monday 1-2pm </w:t>
      </w:r>
      <w:r w:rsidR="008126A3">
        <w:rPr>
          <w:rFonts w:asciiTheme="majorHAnsi" w:hAnsiTheme="majorHAnsi"/>
        </w:rPr>
        <w:t xml:space="preserve">seem a good time. Stephanie will send out calendar invites for the Fall Semester. </w:t>
      </w:r>
    </w:p>
    <w:p w14:paraId="5977CCA5" w14:textId="6F374530" w:rsidR="00EA7D8F" w:rsidRPr="00B07F66" w:rsidRDefault="00EA7D8F" w:rsidP="00B07F66">
      <w:pPr>
        <w:rPr>
          <w:rFonts w:asciiTheme="majorHAnsi" w:hAnsiTheme="majorHAnsi"/>
        </w:rPr>
      </w:pPr>
    </w:p>
    <w:p w14:paraId="462A4566" w14:textId="09E1B071" w:rsidR="00916CEA" w:rsidRPr="008126A3" w:rsidRDefault="0080639A" w:rsidP="00B92E73">
      <w:pPr>
        <w:numPr>
          <w:ilvl w:val="0"/>
          <w:numId w:val="7"/>
        </w:numPr>
        <w:rPr>
          <w:rFonts w:asciiTheme="majorHAnsi" w:hAnsiTheme="majorHAnsi"/>
        </w:rPr>
      </w:pPr>
      <w:r w:rsidRPr="0045174E">
        <w:rPr>
          <w:rFonts w:asciiTheme="majorHAnsi" w:hAnsiTheme="majorHAnsi"/>
        </w:rPr>
        <w:t>Adjournment</w:t>
      </w:r>
    </w:p>
    <w:p w14:paraId="281CA902" w14:textId="7E8C6C2E" w:rsidR="008126A3" w:rsidRDefault="008126A3" w:rsidP="008126A3">
      <w:pPr>
        <w:ind w:left="1080"/>
        <w:rPr>
          <w:rFonts w:asciiTheme="majorHAnsi" w:hAnsiTheme="majorHAnsi"/>
        </w:rPr>
      </w:pPr>
      <w:r>
        <w:rPr>
          <w:rFonts w:asciiTheme="majorHAnsi" w:hAnsiTheme="majorHAnsi"/>
        </w:rPr>
        <w:t xml:space="preserve">The meeting adjourned at 1:56pm. </w:t>
      </w:r>
    </w:p>
    <w:p w14:paraId="6C1F1286" w14:textId="77777777" w:rsidR="008126A3" w:rsidRPr="00B92E73" w:rsidRDefault="008126A3" w:rsidP="008126A3">
      <w:pPr>
        <w:ind w:left="1080"/>
        <w:rPr>
          <w:rFonts w:asciiTheme="majorHAnsi" w:hAnsiTheme="majorHAnsi"/>
        </w:rPr>
      </w:pP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lastRenderedPageBreak/>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E61FBD0" w:rsidR="00256648" w:rsidRPr="00C85A85"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00061AC8" w14:textId="3C925930" w:rsidR="00C85A85" w:rsidRDefault="00C85A85" w:rsidP="00C85A85">
      <w:pPr>
        <w:pStyle w:val="ListParagraph"/>
        <w:numPr>
          <w:ilvl w:val="0"/>
          <w:numId w:val="14"/>
        </w:numPr>
        <w:rPr>
          <w:rFonts w:asciiTheme="majorHAnsi" w:hAnsiTheme="majorHAnsi" w:cstheme="majorHAnsi"/>
        </w:rPr>
      </w:pPr>
      <w:r w:rsidRPr="00C85A85">
        <w:rPr>
          <w:rFonts w:asciiTheme="majorHAnsi" w:hAnsiTheme="majorHAnsi" w:cstheme="majorHAnsi"/>
        </w:rPr>
        <w:t xml:space="preserve">General Education Webinars </w:t>
      </w:r>
    </w:p>
    <w:p w14:paraId="55745689" w14:textId="6FFC4C8A" w:rsidR="00C85A85" w:rsidRDefault="00C85A85" w:rsidP="00C85A85">
      <w:pPr>
        <w:pStyle w:val="ListParagraph"/>
        <w:numPr>
          <w:ilvl w:val="0"/>
          <w:numId w:val="14"/>
        </w:numPr>
        <w:rPr>
          <w:rFonts w:asciiTheme="majorHAnsi" w:hAnsiTheme="majorHAnsi" w:cstheme="majorHAnsi"/>
        </w:rPr>
      </w:pPr>
      <w:r>
        <w:rPr>
          <w:rFonts w:asciiTheme="majorHAnsi" w:hAnsiTheme="majorHAnsi" w:cstheme="majorHAnsi"/>
        </w:rPr>
        <w:t xml:space="preserve">Rostrum Article- Articulation Officers </w:t>
      </w:r>
    </w:p>
    <w:p w14:paraId="3D114F35" w14:textId="77777777" w:rsidR="00C85A85" w:rsidRPr="00C85A85" w:rsidRDefault="00C85A85" w:rsidP="00C85A85">
      <w:pPr>
        <w:pStyle w:val="ListParagraph"/>
        <w:numPr>
          <w:ilvl w:val="0"/>
          <w:numId w:val="14"/>
        </w:numPr>
        <w:rPr>
          <w:rFonts w:asciiTheme="majorHAnsi" w:hAnsiTheme="majorHAnsi" w:cstheme="majorHAnsi"/>
        </w:rPr>
      </w:pPr>
    </w:p>
    <w:p w14:paraId="1935B993" w14:textId="77777777" w:rsidR="00D66C18" w:rsidRPr="00CD1C6C" w:rsidRDefault="00D66C18" w:rsidP="00DE318E">
      <w:pPr>
        <w:ind w:left="720"/>
        <w:rPr>
          <w:rFonts w:asciiTheme="majorHAnsi" w:hAnsiTheme="majorHAnsi" w:cstheme="majorHAnsi"/>
        </w:rPr>
      </w:pPr>
    </w:p>
    <w:p w14:paraId="755CDED5" w14:textId="5D86D99F" w:rsidR="004B62D3" w:rsidRPr="00CD1C6C"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298DBFC2" w14:textId="799ED072" w:rsidR="00563062" w:rsidRPr="00563062" w:rsidRDefault="00563062" w:rsidP="00563062">
      <w:pPr>
        <w:rPr>
          <w:rFonts w:asciiTheme="majorHAnsi" w:hAnsiTheme="majorHAnsi" w:cstheme="majorHAnsi"/>
        </w:rPr>
      </w:pP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4553" w14:textId="77777777" w:rsidR="00A16C24" w:rsidRDefault="00A16C24">
      <w:r>
        <w:separator/>
      </w:r>
    </w:p>
  </w:endnote>
  <w:endnote w:type="continuationSeparator" w:id="0">
    <w:p w14:paraId="69873488" w14:textId="77777777" w:rsidR="00A16C24" w:rsidRDefault="00A1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737C" w14:textId="77777777" w:rsidR="00A16C24" w:rsidRDefault="00A16C24">
      <w:r>
        <w:separator/>
      </w:r>
    </w:p>
  </w:footnote>
  <w:footnote w:type="continuationSeparator" w:id="0">
    <w:p w14:paraId="009EF1F8" w14:textId="77777777" w:rsidR="00A16C24" w:rsidRDefault="00A1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3E2D"/>
    <w:multiLevelType w:val="hybridMultilevel"/>
    <w:tmpl w:val="FE2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05F5"/>
    <w:multiLevelType w:val="hybridMultilevel"/>
    <w:tmpl w:val="8C4A6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D01D8"/>
    <w:multiLevelType w:val="hybridMultilevel"/>
    <w:tmpl w:val="C1D82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9C367C"/>
    <w:multiLevelType w:val="hybridMultilevel"/>
    <w:tmpl w:val="C1682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BB4EB7"/>
    <w:multiLevelType w:val="hybridMultilevel"/>
    <w:tmpl w:val="2BAA733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2"/>
  </w:num>
  <w:num w:numId="6">
    <w:abstractNumId w:val="17"/>
  </w:num>
  <w:num w:numId="7">
    <w:abstractNumId w:val="4"/>
  </w:num>
  <w:num w:numId="8">
    <w:abstractNumId w:val="5"/>
  </w:num>
  <w:num w:numId="9">
    <w:abstractNumId w:val="12"/>
  </w:num>
  <w:num w:numId="10">
    <w:abstractNumId w:val="16"/>
  </w:num>
  <w:num w:numId="11">
    <w:abstractNumId w:val="3"/>
  </w:num>
  <w:num w:numId="12">
    <w:abstractNumId w:val="11"/>
  </w:num>
  <w:num w:numId="13">
    <w:abstractNumId w:val="8"/>
  </w:num>
  <w:num w:numId="14">
    <w:abstractNumId w:val="13"/>
  </w:num>
  <w:num w:numId="15">
    <w:abstractNumId w:val="14"/>
  </w:num>
  <w:num w:numId="16">
    <w:abstractNumId w:val="9"/>
  </w:num>
  <w:num w:numId="17">
    <w:abstractNumId w:val="7"/>
  </w:num>
  <w:num w:numId="18">
    <w:abstractNumId w:val="6"/>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F18D3"/>
    <w:rsid w:val="000F28AF"/>
    <w:rsid w:val="000F2E8F"/>
    <w:rsid w:val="000F7A00"/>
    <w:rsid w:val="00100899"/>
    <w:rsid w:val="001055AC"/>
    <w:rsid w:val="00105D15"/>
    <w:rsid w:val="00107EA1"/>
    <w:rsid w:val="001132AF"/>
    <w:rsid w:val="001159E8"/>
    <w:rsid w:val="001247C0"/>
    <w:rsid w:val="00124D85"/>
    <w:rsid w:val="0016495D"/>
    <w:rsid w:val="001759D9"/>
    <w:rsid w:val="001822F7"/>
    <w:rsid w:val="00194DC3"/>
    <w:rsid w:val="001A774F"/>
    <w:rsid w:val="001B0A38"/>
    <w:rsid w:val="001B27EE"/>
    <w:rsid w:val="001B40DA"/>
    <w:rsid w:val="001D7C43"/>
    <w:rsid w:val="001E0589"/>
    <w:rsid w:val="001E639C"/>
    <w:rsid w:val="001E7E29"/>
    <w:rsid w:val="001F5ADC"/>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428C"/>
    <w:rsid w:val="003149F9"/>
    <w:rsid w:val="003231E8"/>
    <w:rsid w:val="003569D0"/>
    <w:rsid w:val="0036640B"/>
    <w:rsid w:val="00377EEC"/>
    <w:rsid w:val="003906EA"/>
    <w:rsid w:val="003914D9"/>
    <w:rsid w:val="00395567"/>
    <w:rsid w:val="003A0C05"/>
    <w:rsid w:val="003A0ED0"/>
    <w:rsid w:val="003B4A38"/>
    <w:rsid w:val="003B4DEB"/>
    <w:rsid w:val="003B7DA2"/>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F2105"/>
    <w:rsid w:val="004F61F7"/>
    <w:rsid w:val="0050293E"/>
    <w:rsid w:val="00511299"/>
    <w:rsid w:val="00511863"/>
    <w:rsid w:val="00540608"/>
    <w:rsid w:val="00543566"/>
    <w:rsid w:val="00546DCC"/>
    <w:rsid w:val="005522F9"/>
    <w:rsid w:val="00563062"/>
    <w:rsid w:val="00566EEC"/>
    <w:rsid w:val="00567026"/>
    <w:rsid w:val="0057344B"/>
    <w:rsid w:val="00576C85"/>
    <w:rsid w:val="00582ACA"/>
    <w:rsid w:val="00585CCB"/>
    <w:rsid w:val="0059095D"/>
    <w:rsid w:val="005945F6"/>
    <w:rsid w:val="005949BB"/>
    <w:rsid w:val="005A36BF"/>
    <w:rsid w:val="005A5B69"/>
    <w:rsid w:val="005B44A8"/>
    <w:rsid w:val="005D3EBD"/>
    <w:rsid w:val="005D5030"/>
    <w:rsid w:val="005D5088"/>
    <w:rsid w:val="005F4210"/>
    <w:rsid w:val="00600A30"/>
    <w:rsid w:val="00605397"/>
    <w:rsid w:val="0061071C"/>
    <w:rsid w:val="006109EF"/>
    <w:rsid w:val="00616C94"/>
    <w:rsid w:val="00625747"/>
    <w:rsid w:val="00626D22"/>
    <w:rsid w:val="0064085C"/>
    <w:rsid w:val="00641B80"/>
    <w:rsid w:val="00657C17"/>
    <w:rsid w:val="0066073E"/>
    <w:rsid w:val="006672F1"/>
    <w:rsid w:val="006742D7"/>
    <w:rsid w:val="00676C02"/>
    <w:rsid w:val="00680F12"/>
    <w:rsid w:val="00685FB0"/>
    <w:rsid w:val="00696070"/>
    <w:rsid w:val="00696BE6"/>
    <w:rsid w:val="006B7636"/>
    <w:rsid w:val="006C2E8F"/>
    <w:rsid w:val="006D2259"/>
    <w:rsid w:val="006E3AB7"/>
    <w:rsid w:val="006F0751"/>
    <w:rsid w:val="006F5E43"/>
    <w:rsid w:val="006F7A01"/>
    <w:rsid w:val="00704DB2"/>
    <w:rsid w:val="00707D8F"/>
    <w:rsid w:val="007106F1"/>
    <w:rsid w:val="00722839"/>
    <w:rsid w:val="00754CDF"/>
    <w:rsid w:val="00755F42"/>
    <w:rsid w:val="0076476B"/>
    <w:rsid w:val="0078283E"/>
    <w:rsid w:val="0078655A"/>
    <w:rsid w:val="00795B77"/>
    <w:rsid w:val="007A4E19"/>
    <w:rsid w:val="007A508F"/>
    <w:rsid w:val="007D1F9E"/>
    <w:rsid w:val="007D7370"/>
    <w:rsid w:val="007E234E"/>
    <w:rsid w:val="007E5957"/>
    <w:rsid w:val="007E5F64"/>
    <w:rsid w:val="007E726A"/>
    <w:rsid w:val="007F33CC"/>
    <w:rsid w:val="008007F0"/>
    <w:rsid w:val="008008D8"/>
    <w:rsid w:val="0080639A"/>
    <w:rsid w:val="00807047"/>
    <w:rsid w:val="00811F2C"/>
    <w:rsid w:val="008126A3"/>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8F4558"/>
    <w:rsid w:val="008F7D86"/>
    <w:rsid w:val="0090101A"/>
    <w:rsid w:val="00907A40"/>
    <w:rsid w:val="00911052"/>
    <w:rsid w:val="00916CEA"/>
    <w:rsid w:val="00921C62"/>
    <w:rsid w:val="00934695"/>
    <w:rsid w:val="00940548"/>
    <w:rsid w:val="00963F3A"/>
    <w:rsid w:val="0096544C"/>
    <w:rsid w:val="009704F7"/>
    <w:rsid w:val="00981907"/>
    <w:rsid w:val="00982004"/>
    <w:rsid w:val="009867C9"/>
    <w:rsid w:val="009A22D2"/>
    <w:rsid w:val="009B267B"/>
    <w:rsid w:val="009B50A5"/>
    <w:rsid w:val="009C00BB"/>
    <w:rsid w:val="009C3528"/>
    <w:rsid w:val="009C447E"/>
    <w:rsid w:val="009C7D14"/>
    <w:rsid w:val="009D1435"/>
    <w:rsid w:val="009D1878"/>
    <w:rsid w:val="009D1CE1"/>
    <w:rsid w:val="009E000D"/>
    <w:rsid w:val="009E3BA2"/>
    <w:rsid w:val="009E4622"/>
    <w:rsid w:val="009E47A6"/>
    <w:rsid w:val="009E58E4"/>
    <w:rsid w:val="009E7C40"/>
    <w:rsid w:val="009F1F58"/>
    <w:rsid w:val="009F705D"/>
    <w:rsid w:val="00A10B8A"/>
    <w:rsid w:val="00A10E07"/>
    <w:rsid w:val="00A1506E"/>
    <w:rsid w:val="00A16838"/>
    <w:rsid w:val="00A16C24"/>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B07F66"/>
    <w:rsid w:val="00B205A7"/>
    <w:rsid w:val="00B2479A"/>
    <w:rsid w:val="00B271EC"/>
    <w:rsid w:val="00B3476C"/>
    <w:rsid w:val="00B3687B"/>
    <w:rsid w:val="00B375FE"/>
    <w:rsid w:val="00B42127"/>
    <w:rsid w:val="00B423C2"/>
    <w:rsid w:val="00B52298"/>
    <w:rsid w:val="00B60F72"/>
    <w:rsid w:val="00B611A3"/>
    <w:rsid w:val="00B661B8"/>
    <w:rsid w:val="00B6743D"/>
    <w:rsid w:val="00B749EB"/>
    <w:rsid w:val="00B77215"/>
    <w:rsid w:val="00B80DD2"/>
    <w:rsid w:val="00B82474"/>
    <w:rsid w:val="00B9175A"/>
    <w:rsid w:val="00B92E73"/>
    <w:rsid w:val="00BA3FA7"/>
    <w:rsid w:val="00BA6046"/>
    <w:rsid w:val="00BB1643"/>
    <w:rsid w:val="00BB22B9"/>
    <w:rsid w:val="00BB29EC"/>
    <w:rsid w:val="00BB591C"/>
    <w:rsid w:val="00BB64DB"/>
    <w:rsid w:val="00BC6A8D"/>
    <w:rsid w:val="00BD48DB"/>
    <w:rsid w:val="00BE033E"/>
    <w:rsid w:val="00BE2C02"/>
    <w:rsid w:val="00BE4EE6"/>
    <w:rsid w:val="00BF4AFA"/>
    <w:rsid w:val="00BF737A"/>
    <w:rsid w:val="00C02286"/>
    <w:rsid w:val="00C14311"/>
    <w:rsid w:val="00C23EB9"/>
    <w:rsid w:val="00C2792E"/>
    <w:rsid w:val="00C30DA0"/>
    <w:rsid w:val="00C335C5"/>
    <w:rsid w:val="00C353C1"/>
    <w:rsid w:val="00C456F4"/>
    <w:rsid w:val="00C5163E"/>
    <w:rsid w:val="00C57760"/>
    <w:rsid w:val="00C63087"/>
    <w:rsid w:val="00C64805"/>
    <w:rsid w:val="00C66635"/>
    <w:rsid w:val="00C73120"/>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E384E"/>
    <w:rsid w:val="00CF24FD"/>
    <w:rsid w:val="00CF6E7F"/>
    <w:rsid w:val="00D0721D"/>
    <w:rsid w:val="00D17423"/>
    <w:rsid w:val="00D20BBA"/>
    <w:rsid w:val="00D35D57"/>
    <w:rsid w:val="00D5145D"/>
    <w:rsid w:val="00D51DD2"/>
    <w:rsid w:val="00D55C94"/>
    <w:rsid w:val="00D60100"/>
    <w:rsid w:val="00D66C18"/>
    <w:rsid w:val="00D67206"/>
    <w:rsid w:val="00D8129E"/>
    <w:rsid w:val="00D846F6"/>
    <w:rsid w:val="00D857D5"/>
    <w:rsid w:val="00DB0849"/>
    <w:rsid w:val="00DB6CF4"/>
    <w:rsid w:val="00DC1F1E"/>
    <w:rsid w:val="00DD7980"/>
    <w:rsid w:val="00DE318E"/>
    <w:rsid w:val="00DF2D65"/>
    <w:rsid w:val="00DF7075"/>
    <w:rsid w:val="00E00793"/>
    <w:rsid w:val="00E0243D"/>
    <w:rsid w:val="00E045CF"/>
    <w:rsid w:val="00E06EBD"/>
    <w:rsid w:val="00E36DB1"/>
    <w:rsid w:val="00E410A7"/>
    <w:rsid w:val="00E4601B"/>
    <w:rsid w:val="00E46238"/>
    <w:rsid w:val="00E50FE0"/>
    <w:rsid w:val="00E602BE"/>
    <w:rsid w:val="00E72867"/>
    <w:rsid w:val="00E732F6"/>
    <w:rsid w:val="00E739DA"/>
    <w:rsid w:val="00E96BA1"/>
    <w:rsid w:val="00EA186D"/>
    <w:rsid w:val="00EA7D8F"/>
    <w:rsid w:val="00EB1794"/>
    <w:rsid w:val="00EC13FF"/>
    <w:rsid w:val="00EE3588"/>
    <w:rsid w:val="00EF090D"/>
    <w:rsid w:val="00EF66D3"/>
    <w:rsid w:val="00F04ACE"/>
    <w:rsid w:val="00F06415"/>
    <w:rsid w:val="00F15B77"/>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1519332076?pwd=U0FLYmNFbDdQOHBZOVZkTFMzODRTUT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ccc.org/resolutions/develop-set-resources-assist-establishing-ethnic-studies-programs-alignment-california" TargetMode="External"/><Relationship Id="rId4" Type="http://schemas.openxmlformats.org/officeDocument/2006/relationships/webSettings" Target="webSettings.xml"/><Relationship Id="rId9" Type="http://schemas.openxmlformats.org/officeDocument/2006/relationships/hyperlink" Target="https://www.asccc.org/resolutions/support-mental-health-awareness-and-trauma-informed-teaching-and-lear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5012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4</cp:revision>
  <cp:lastPrinted>2017-04-13T00:50:00Z</cp:lastPrinted>
  <dcterms:created xsi:type="dcterms:W3CDTF">2022-08-30T19:01:00Z</dcterms:created>
  <dcterms:modified xsi:type="dcterms:W3CDTF">2022-09-12T21:12:00Z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